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805CFE" w:rsidRPr="003D7015" w14:paraId="6B90CF15"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18F2728" w14:textId="77777777" w:rsidR="00805CFE" w:rsidRPr="003D7015" w:rsidRDefault="00805CFE" w:rsidP="005E799D">
            <w:pPr>
              <w:jc w:val="center"/>
              <w:rPr>
                <w:rFonts w:eastAsia="Times New Roman" w:cstheme="minorBidi"/>
                <w:b/>
                <w:sz w:val="24"/>
                <w:szCs w:val="24"/>
                <w:lang w:val="fr-CA" w:bidi="ar-SA"/>
              </w:rPr>
            </w:pPr>
            <w:r w:rsidRPr="003D7015">
              <w:rPr>
                <w:rFonts w:eastAsia="Times New Roman" w:cstheme="minorBidi"/>
                <w:b/>
                <w:smallCaps/>
                <w:sz w:val="24"/>
                <w:szCs w:val="24"/>
                <w:lang w:val="fr-CA" w:bidi="ar-SA"/>
              </w:rPr>
              <w:t>ASSOCIATION CANADIENNE DES SPORTS POUR AVEUGLES</w:t>
            </w:r>
          </w:p>
          <w:p w14:paraId="5BDDEB18" w14:textId="77777777" w:rsidR="00805CFE" w:rsidRPr="003D7015" w:rsidRDefault="00805CFE" w:rsidP="005E799D">
            <w:pPr>
              <w:pStyle w:val="Heading1"/>
              <w:spacing w:before="0"/>
              <w:rPr>
                <w:rFonts w:cstheme="minorBidi"/>
                <w:sz w:val="24"/>
                <w:szCs w:val="24"/>
                <w:lang w:val="fr-CA"/>
              </w:rPr>
            </w:pPr>
            <w:bookmarkStart w:id="0" w:name="_Toc55897192"/>
            <w:r w:rsidRPr="003D7015">
              <w:rPr>
                <w:rFonts w:cstheme="minorBidi"/>
                <w:sz w:val="24"/>
                <w:szCs w:val="24"/>
                <w:lang w:val="fr-CA"/>
              </w:rPr>
              <w:t>POLITIQUE SUR LE RÈGLEMENT DES DIFFÉRENDS</w:t>
            </w:r>
            <w:bookmarkEnd w:id="0"/>
          </w:p>
        </w:tc>
      </w:tr>
      <w:tr w:rsidR="00805CFE" w:rsidRPr="003D7015" w14:paraId="22DD02D6"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D6550E4" w14:textId="77777777" w:rsidR="00805CFE" w:rsidRPr="003D7015" w:rsidRDefault="00805CFE" w:rsidP="005E799D">
            <w:pPr>
              <w:jc w:val="center"/>
              <w:rPr>
                <w:rFonts w:cstheme="minorBidi"/>
                <w:sz w:val="24"/>
                <w:szCs w:val="24"/>
                <w:lang w:val="fr-CA"/>
              </w:rPr>
            </w:pPr>
            <w:r w:rsidRPr="003D7015">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13C29493" w14:textId="77777777" w:rsidR="00805CFE" w:rsidRPr="003D7015" w:rsidRDefault="00805CFE" w:rsidP="00805CFE">
      <w:pPr>
        <w:jc w:val="both"/>
        <w:rPr>
          <w:rFonts w:cstheme="minorBidi"/>
          <w:sz w:val="24"/>
          <w:szCs w:val="24"/>
          <w:lang w:val="fr-CA"/>
        </w:rPr>
      </w:pPr>
    </w:p>
    <w:p w14:paraId="2ACA9429" w14:textId="77777777" w:rsidR="00805CFE" w:rsidRPr="003D7015" w:rsidRDefault="00805CFE" w:rsidP="00805CFE">
      <w:pPr>
        <w:pStyle w:val="Heading2"/>
        <w:rPr>
          <w:rFonts w:cstheme="minorBidi"/>
          <w:sz w:val="24"/>
          <w:szCs w:val="24"/>
        </w:rPr>
      </w:pPr>
      <w:r w:rsidRPr="003D7015">
        <w:rPr>
          <w:rFonts w:cstheme="minorBidi"/>
          <w:sz w:val="24"/>
          <w:szCs w:val="24"/>
        </w:rPr>
        <w:t>But</w:t>
      </w:r>
    </w:p>
    <w:p w14:paraId="38A2AAAF" w14:textId="77777777" w:rsidR="00805CFE" w:rsidRPr="003D7015" w:rsidRDefault="00805CFE" w:rsidP="00805CFE">
      <w:pPr>
        <w:numPr>
          <w:ilvl w:val="0"/>
          <w:numId w:val="1"/>
        </w:numPr>
        <w:rPr>
          <w:rFonts w:cstheme="minorBidi"/>
          <w:sz w:val="24"/>
          <w:szCs w:val="24"/>
          <w:lang w:val="fr-CA"/>
        </w:rPr>
      </w:pPr>
      <w:r w:rsidRPr="003D7015">
        <w:rPr>
          <w:rFonts w:cstheme="minorBidi"/>
          <w:sz w:val="24"/>
          <w:szCs w:val="24"/>
          <w:lang w:val="fr-CA"/>
        </w:rPr>
        <w:t>L’Association canadienne des sports pour aveugles (« l’organisation ») et ses membres participants adhèrent au principe des modes substitutifs de résolution des différends (MSRD) et estiment que les techniques de négociation, de facilitation, et de médiation sont des moyens efficaces de résoudre les différends. Les MSRD permettent en outre d’éviter l’incertitude, les coûts et les autres répercussions négatives qui se rattachent aux processus d’appel ou de plainte de longue durée ou aux litiges.</w:t>
      </w:r>
    </w:p>
    <w:p w14:paraId="537AC17B" w14:textId="77777777" w:rsidR="00805CFE" w:rsidRPr="003D7015" w:rsidRDefault="00805CFE" w:rsidP="00805CFE">
      <w:pPr>
        <w:rPr>
          <w:rFonts w:cstheme="minorBidi"/>
          <w:sz w:val="24"/>
          <w:szCs w:val="24"/>
          <w:lang w:val="fr-CA"/>
        </w:rPr>
      </w:pPr>
    </w:p>
    <w:p w14:paraId="275D7795" w14:textId="77777777" w:rsidR="00805CFE" w:rsidRPr="003D7015" w:rsidRDefault="00805CFE" w:rsidP="00805CFE">
      <w:pPr>
        <w:numPr>
          <w:ilvl w:val="0"/>
          <w:numId w:val="1"/>
        </w:numPr>
        <w:rPr>
          <w:rFonts w:cstheme="minorBidi"/>
          <w:sz w:val="24"/>
          <w:szCs w:val="24"/>
          <w:lang w:val="fr-CA"/>
        </w:rPr>
      </w:pPr>
      <w:r w:rsidRPr="003D7015">
        <w:rPr>
          <w:rFonts w:cstheme="minorBidi"/>
          <w:sz w:val="24"/>
          <w:szCs w:val="24"/>
          <w:lang w:val="fr-CA"/>
        </w:rPr>
        <w:t>L’organisation et ses membres participants encouragent tous les participants à communiquer franchement, à collaborer et à utiliser des techniques de résolution de problèmes et de négociation dans le but de résoudre leurs différends. L’organisation et ses membres participants sont d’avis qu’une entente négociée est généralement préférable à l’emploi d’autres techniques nécessitant un arbitrage. L’application de solutions résultant d’une négociation est donc fortement encouragée pour résoudre les différends entre les participants.</w:t>
      </w:r>
    </w:p>
    <w:p w14:paraId="47C1582F" w14:textId="77777777" w:rsidR="00805CFE" w:rsidRPr="003D7015" w:rsidRDefault="00805CFE" w:rsidP="00805CFE">
      <w:pPr>
        <w:ind w:left="284" w:hanging="284"/>
        <w:rPr>
          <w:rFonts w:cstheme="minorBidi"/>
          <w:sz w:val="24"/>
          <w:szCs w:val="24"/>
          <w:lang w:val="fr-CA"/>
        </w:rPr>
      </w:pPr>
    </w:p>
    <w:p w14:paraId="5F60E0BC" w14:textId="77777777" w:rsidR="00805CFE" w:rsidRPr="003D7015" w:rsidRDefault="00805CFE" w:rsidP="00805CFE">
      <w:pPr>
        <w:pStyle w:val="Heading2"/>
        <w:rPr>
          <w:rFonts w:cstheme="minorBidi"/>
          <w:sz w:val="24"/>
          <w:szCs w:val="24"/>
        </w:rPr>
      </w:pPr>
      <w:r w:rsidRPr="003D7015">
        <w:rPr>
          <w:rFonts w:cstheme="minorBidi"/>
          <w:sz w:val="24"/>
          <w:szCs w:val="24"/>
        </w:rPr>
        <w:t xml:space="preserve">Application de la </w:t>
      </w:r>
      <w:proofErr w:type="spellStart"/>
      <w:r w:rsidRPr="003D7015">
        <w:rPr>
          <w:rFonts w:cstheme="minorBidi"/>
          <w:sz w:val="24"/>
          <w:szCs w:val="24"/>
        </w:rPr>
        <w:t>présente</w:t>
      </w:r>
      <w:proofErr w:type="spellEnd"/>
      <w:r w:rsidRPr="003D7015">
        <w:rPr>
          <w:rFonts w:cstheme="minorBidi"/>
          <w:sz w:val="24"/>
          <w:szCs w:val="24"/>
        </w:rPr>
        <w:t xml:space="preserve"> </w:t>
      </w:r>
      <w:r w:rsidRPr="003D7015">
        <w:rPr>
          <w:rFonts w:cstheme="minorBidi"/>
          <w:i/>
          <w:sz w:val="24"/>
          <w:szCs w:val="24"/>
        </w:rPr>
        <w:t>Politique</w:t>
      </w:r>
    </w:p>
    <w:p w14:paraId="229A6816" w14:textId="77777777" w:rsidR="00805CFE" w:rsidRPr="003D7015" w:rsidRDefault="00805CFE" w:rsidP="00805CFE">
      <w:pPr>
        <w:numPr>
          <w:ilvl w:val="0"/>
          <w:numId w:val="1"/>
        </w:numPr>
        <w:rPr>
          <w:rFonts w:cstheme="minorBidi"/>
          <w:sz w:val="24"/>
          <w:szCs w:val="24"/>
          <w:lang w:val="fr-CA"/>
        </w:rPr>
      </w:pPr>
      <w:r w:rsidRPr="003D7015">
        <w:rPr>
          <w:rFonts w:cstheme="minorBidi"/>
          <w:sz w:val="24"/>
          <w:szCs w:val="24"/>
          <w:lang w:val="fr-CA"/>
        </w:rPr>
        <w:t>La présente Politique s’applique à tous les participants.</w:t>
      </w:r>
    </w:p>
    <w:p w14:paraId="1897DB07" w14:textId="77777777" w:rsidR="00805CFE" w:rsidRPr="003D7015" w:rsidRDefault="00805CFE" w:rsidP="00805CFE">
      <w:pPr>
        <w:pStyle w:val="ListParagraph"/>
        <w:ind w:left="284" w:hanging="284"/>
        <w:rPr>
          <w:rFonts w:cstheme="minorBidi"/>
          <w:sz w:val="24"/>
          <w:szCs w:val="24"/>
          <w:lang w:val="fr-CA"/>
        </w:rPr>
      </w:pPr>
    </w:p>
    <w:p w14:paraId="14BA5684" w14:textId="77777777" w:rsidR="00805CFE" w:rsidRPr="003D7015" w:rsidRDefault="00805CFE" w:rsidP="00805CFE">
      <w:pPr>
        <w:numPr>
          <w:ilvl w:val="0"/>
          <w:numId w:val="1"/>
        </w:numPr>
        <w:rPr>
          <w:rFonts w:cstheme="minorBidi"/>
          <w:sz w:val="24"/>
          <w:szCs w:val="24"/>
          <w:lang w:val="fr-CA"/>
        </w:rPr>
      </w:pPr>
      <w:r w:rsidRPr="003D7015">
        <w:rPr>
          <w:rFonts w:cstheme="minorBidi"/>
          <w:sz w:val="24"/>
          <w:szCs w:val="24"/>
          <w:lang w:val="fr-CA"/>
        </w:rPr>
        <w:t>Il est possible de recourir à un MSRD à toutes les étapes du processus si toutes les parties conviennent qu’une telle approche s’avérerait mutuellement avantageuse.</w:t>
      </w:r>
    </w:p>
    <w:p w14:paraId="4B95B78E" w14:textId="77777777" w:rsidR="00805CFE" w:rsidRPr="003D7015" w:rsidRDefault="00805CFE" w:rsidP="00805CFE">
      <w:pPr>
        <w:ind w:left="284" w:hanging="284"/>
        <w:jc w:val="both"/>
        <w:rPr>
          <w:rFonts w:cstheme="minorBidi"/>
          <w:sz w:val="24"/>
          <w:szCs w:val="24"/>
          <w:lang w:val="fr-CA"/>
        </w:rPr>
      </w:pPr>
    </w:p>
    <w:p w14:paraId="49AFA5DE" w14:textId="77777777" w:rsidR="00805CFE" w:rsidRPr="003D7015" w:rsidRDefault="00805CFE" w:rsidP="00805CFE">
      <w:pPr>
        <w:pStyle w:val="Heading2"/>
        <w:rPr>
          <w:rFonts w:cstheme="minorBidi"/>
          <w:sz w:val="24"/>
          <w:szCs w:val="24"/>
        </w:rPr>
      </w:pPr>
      <w:r w:rsidRPr="003D7015">
        <w:rPr>
          <w:rFonts w:cstheme="minorBidi"/>
          <w:sz w:val="24"/>
          <w:szCs w:val="24"/>
        </w:rPr>
        <w:t xml:space="preserve">Facilitation et </w:t>
      </w:r>
      <w:proofErr w:type="spellStart"/>
      <w:r w:rsidRPr="003D7015">
        <w:rPr>
          <w:rFonts w:cstheme="minorBidi"/>
          <w:sz w:val="24"/>
          <w:szCs w:val="24"/>
        </w:rPr>
        <w:t>médiation</w:t>
      </w:r>
      <w:proofErr w:type="spellEnd"/>
    </w:p>
    <w:p w14:paraId="727B02F9" w14:textId="77777777" w:rsidR="00805CFE" w:rsidRPr="003D7015" w:rsidRDefault="00805CFE" w:rsidP="00805CFE">
      <w:pPr>
        <w:numPr>
          <w:ilvl w:val="0"/>
          <w:numId w:val="1"/>
        </w:numPr>
        <w:rPr>
          <w:rFonts w:cstheme="minorBidi"/>
          <w:sz w:val="24"/>
          <w:szCs w:val="24"/>
          <w:lang w:val="fr-CA"/>
        </w:rPr>
      </w:pPr>
      <w:r w:rsidRPr="003D7015">
        <w:rPr>
          <w:rFonts w:cstheme="minorBidi"/>
          <w:sz w:val="24"/>
          <w:szCs w:val="24"/>
          <w:lang w:val="fr-CA"/>
        </w:rPr>
        <w:t>Si toutes les parties acceptent de recourir à un MSRD, un médiateur ou un facilitateur satisfaisant aux attentes de toutes les parties sera nommé afin de gérer le processus.</w:t>
      </w:r>
    </w:p>
    <w:p w14:paraId="742DF5AD" w14:textId="77777777" w:rsidR="00805CFE" w:rsidRPr="003D7015" w:rsidRDefault="00805CFE" w:rsidP="00805CFE">
      <w:pPr>
        <w:numPr>
          <w:ilvl w:val="0"/>
          <w:numId w:val="1"/>
        </w:numPr>
        <w:rPr>
          <w:rFonts w:cstheme="minorBidi"/>
          <w:sz w:val="24"/>
          <w:szCs w:val="24"/>
          <w:lang w:val="fr-CA"/>
        </w:rPr>
      </w:pPr>
      <w:r w:rsidRPr="003D7015">
        <w:rPr>
          <w:rFonts w:cstheme="minorBidi"/>
          <w:sz w:val="24"/>
          <w:szCs w:val="24"/>
          <w:lang w:val="fr-CA"/>
        </w:rPr>
        <w:t>Le médiateur ou le facilitateur décidera du format de la médiation ou de la facilitation et, s’il le juge approprié, définira l’échéancier à l’intérieur duquel les parties devront s’entendre pour en arriver à une décision négociée.</w:t>
      </w:r>
    </w:p>
    <w:p w14:paraId="2236EB5B" w14:textId="77777777" w:rsidR="00805CFE" w:rsidRPr="003D7015" w:rsidRDefault="00805CFE" w:rsidP="00805CFE">
      <w:pPr>
        <w:ind w:left="360"/>
        <w:rPr>
          <w:rFonts w:cstheme="minorBidi"/>
          <w:sz w:val="24"/>
          <w:szCs w:val="24"/>
          <w:lang w:val="fr-CA"/>
        </w:rPr>
      </w:pPr>
    </w:p>
    <w:p w14:paraId="2FEFBF20" w14:textId="77777777" w:rsidR="00805CFE" w:rsidRPr="003D7015" w:rsidRDefault="00805CFE" w:rsidP="00805CFE">
      <w:pPr>
        <w:numPr>
          <w:ilvl w:val="0"/>
          <w:numId w:val="1"/>
        </w:numPr>
        <w:rPr>
          <w:rFonts w:cstheme="minorBidi"/>
          <w:sz w:val="24"/>
          <w:szCs w:val="24"/>
          <w:lang w:val="fr-CA"/>
        </w:rPr>
      </w:pPr>
      <w:r w:rsidRPr="003D7015">
        <w:rPr>
          <w:rFonts w:cstheme="minorBidi"/>
          <w:sz w:val="24"/>
          <w:szCs w:val="24"/>
          <w:lang w:val="fr-CA"/>
        </w:rPr>
        <w:t>Si le processus permet d’en venir à une décision négociée, cette dernière devra être communiquée à l’organisation et au membre participant (s’il y a lieu). Toute mesure découlant de la décision devra être mise en œuvre dans les délais précisés dans l’entente négociée, sous réserve de son approbation.</w:t>
      </w:r>
    </w:p>
    <w:p w14:paraId="1B8409E4" w14:textId="77777777" w:rsidR="00805CFE" w:rsidRPr="003D7015" w:rsidRDefault="00805CFE" w:rsidP="00805CFE">
      <w:pPr>
        <w:ind w:left="360"/>
        <w:rPr>
          <w:rFonts w:cstheme="minorBidi"/>
          <w:sz w:val="24"/>
          <w:szCs w:val="24"/>
          <w:lang w:val="fr-CA"/>
        </w:rPr>
      </w:pPr>
    </w:p>
    <w:p w14:paraId="337C2C72" w14:textId="77777777" w:rsidR="00805CFE" w:rsidRPr="003D7015" w:rsidRDefault="00805CFE" w:rsidP="00805CFE">
      <w:pPr>
        <w:numPr>
          <w:ilvl w:val="0"/>
          <w:numId w:val="1"/>
        </w:numPr>
        <w:rPr>
          <w:rFonts w:cstheme="minorBidi"/>
          <w:sz w:val="24"/>
          <w:szCs w:val="24"/>
          <w:lang w:val="fr-CA"/>
        </w:rPr>
      </w:pPr>
      <w:r w:rsidRPr="003D7015">
        <w:rPr>
          <w:rFonts w:cstheme="minorBidi"/>
          <w:sz w:val="24"/>
          <w:szCs w:val="24"/>
          <w:lang w:val="fr-CA"/>
        </w:rPr>
        <w:t xml:space="preserve">Si une entente négociée ne peut pas être conclue dans les délais établis par le médiateur ou le facilitateur au début du processus (le cas échéant), ou si les parties </w:t>
      </w:r>
      <w:r w:rsidRPr="003D7015">
        <w:rPr>
          <w:rFonts w:cstheme="minorBidi"/>
          <w:sz w:val="24"/>
          <w:szCs w:val="24"/>
          <w:lang w:val="fr-CA"/>
        </w:rPr>
        <w:lastRenderedPageBreak/>
        <w:t xml:space="preserve">au différend n’acceptent pas le recours à un MSRD, le différend sera géré </w:t>
      </w:r>
      <w:proofErr w:type="gramStart"/>
      <w:r w:rsidRPr="003D7015">
        <w:rPr>
          <w:rFonts w:cstheme="minorBidi"/>
          <w:sz w:val="24"/>
          <w:szCs w:val="24"/>
          <w:lang w:val="fr-CA"/>
        </w:rPr>
        <w:t>conformément</w:t>
      </w:r>
      <w:proofErr w:type="gramEnd"/>
      <w:r w:rsidRPr="003D7015">
        <w:rPr>
          <w:rFonts w:cstheme="minorBidi"/>
          <w:sz w:val="24"/>
          <w:szCs w:val="24"/>
          <w:lang w:val="fr-CA"/>
        </w:rPr>
        <w:t xml:space="preserve"> à la section pertinente de la Politique concernant la discipline et les plaintes ou de la Politique d’appel, selon ce qui s’applique.</w:t>
      </w:r>
    </w:p>
    <w:p w14:paraId="3DC1E93B" w14:textId="77777777" w:rsidR="00805CFE" w:rsidRPr="003D7015" w:rsidRDefault="00805CFE" w:rsidP="00805CFE">
      <w:pPr>
        <w:ind w:left="284" w:hanging="284"/>
        <w:jc w:val="both"/>
        <w:rPr>
          <w:rFonts w:cstheme="minorBidi"/>
          <w:sz w:val="24"/>
          <w:szCs w:val="24"/>
          <w:lang w:val="fr-CA"/>
        </w:rPr>
      </w:pPr>
    </w:p>
    <w:p w14:paraId="531D51C7" w14:textId="77777777" w:rsidR="00805CFE" w:rsidRPr="003D7015" w:rsidRDefault="00805CFE" w:rsidP="00805CFE">
      <w:pPr>
        <w:pStyle w:val="Heading2"/>
        <w:rPr>
          <w:rFonts w:cstheme="minorBidi"/>
          <w:sz w:val="24"/>
          <w:szCs w:val="24"/>
        </w:rPr>
      </w:pPr>
      <w:proofErr w:type="spellStart"/>
      <w:r w:rsidRPr="003D7015">
        <w:rPr>
          <w:rFonts w:cstheme="minorBidi"/>
          <w:sz w:val="24"/>
          <w:szCs w:val="24"/>
        </w:rPr>
        <w:t>Décision</w:t>
      </w:r>
      <w:proofErr w:type="spellEnd"/>
      <w:r w:rsidRPr="003D7015">
        <w:rPr>
          <w:rFonts w:cstheme="minorBidi"/>
          <w:sz w:val="24"/>
          <w:szCs w:val="24"/>
        </w:rPr>
        <w:t xml:space="preserve"> </w:t>
      </w:r>
      <w:proofErr w:type="spellStart"/>
      <w:r w:rsidRPr="003D7015">
        <w:rPr>
          <w:rFonts w:cstheme="minorBidi"/>
          <w:sz w:val="24"/>
          <w:szCs w:val="24"/>
        </w:rPr>
        <w:t>exécutoire</w:t>
      </w:r>
      <w:proofErr w:type="spellEnd"/>
      <w:r w:rsidRPr="003D7015">
        <w:rPr>
          <w:rFonts w:cstheme="minorBidi"/>
          <w:sz w:val="24"/>
          <w:szCs w:val="24"/>
        </w:rPr>
        <w:t xml:space="preserve"> et sans </w:t>
      </w:r>
      <w:proofErr w:type="spellStart"/>
      <w:r w:rsidRPr="003D7015">
        <w:rPr>
          <w:rFonts w:cstheme="minorBidi"/>
          <w:sz w:val="24"/>
          <w:szCs w:val="24"/>
        </w:rPr>
        <w:t>appel</w:t>
      </w:r>
      <w:proofErr w:type="spellEnd"/>
    </w:p>
    <w:p w14:paraId="26D714DD" w14:textId="77777777" w:rsidR="00805CFE" w:rsidRPr="003D7015" w:rsidRDefault="00805CFE" w:rsidP="00805CFE">
      <w:pPr>
        <w:numPr>
          <w:ilvl w:val="0"/>
          <w:numId w:val="1"/>
        </w:numPr>
        <w:rPr>
          <w:rFonts w:cstheme="minorBidi"/>
          <w:sz w:val="24"/>
          <w:szCs w:val="24"/>
          <w:lang w:val="fr-CA"/>
        </w:rPr>
      </w:pPr>
      <w:r w:rsidRPr="003D7015">
        <w:rPr>
          <w:rFonts w:cstheme="minorBidi"/>
          <w:sz w:val="24"/>
          <w:szCs w:val="24"/>
          <w:lang w:val="fr-CA"/>
        </w:rPr>
        <w:t>Toute entente négociée est exécutoire pour les parties. Les ententes négociées ne peuvent pas être portées en appel.</w:t>
      </w:r>
    </w:p>
    <w:p w14:paraId="24482666" w14:textId="77777777" w:rsidR="00805CFE" w:rsidRPr="003D7015" w:rsidRDefault="00805CFE" w:rsidP="00805CFE">
      <w:pPr>
        <w:ind w:left="360"/>
        <w:rPr>
          <w:rFonts w:cstheme="minorBidi"/>
          <w:sz w:val="24"/>
          <w:szCs w:val="24"/>
          <w:lang w:val="fr-CA"/>
        </w:rPr>
      </w:pPr>
    </w:p>
    <w:tbl>
      <w:tblPr>
        <w:tblStyle w:val="TableGrid"/>
        <w:tblW w:w="0" w:type="auto"/>
        <w:tblLook w:val="04A0" w:firstRow="1" w:lastRow="0" w:firstColumn="1" w:lastColumn="0" w:noHBand="0" w:noVBand="1"/>
      </w:tblPr>
      <w:tblGrid>
        <w:gridCol w:w="4408"/>
        <w:gridCol w:w="3109"/>
      </w:tblGrid>
      <w:tr w:rsidR="00805CFE" w:rsidRPr="003D7015" w14:paraId="370B6DB5" w14:textId="77777777" w:rsidTr="002E0D22">
        <w:trPr>
          <w:trHeight w:val="397"/>
        </w:trPr>
        <w:tc>
          <w:tcPr>
            <w:tcW w:w="7517" w:type="dxa"/>
            <w:gridSpan w:val="2"/>
            <w:shd w:val="clear" w:color="auto" w:fill="D9D9D9" w:themeFill="background1" w:themeFillShade="D9"/>
            <w:vAlign w:val="center"/>
          </w:tcPr>
          <w:p w14:paraId="7EF5CECC" w14:textId="77777777" w:rsidR="00805CFE" w:rsidRPr="003D7015" w:rsidRDefault="00805CFE" w:rsidP="002E0D22">
            <w:pPr>
              <w:pStyle w:val="Body"/>
              <w:spacing w:before="0" w:after="0" w:line="240" w:lineRule="auto"/>
              <w:contextualSpacing/>
              <w:jc w:val="center"/>
              <w:rPr>
                <w:rFonts w:asciiTheme="minorBidi" w:hAnsiTheme="minorBidi" w:cstheme="minorBidi"/>
                <w:b/>
                <w:sz w:val="24"/>
                <w:szCs w:val="24"/>
                <w:lang w:val="fr-CA"/>
              </w:rPr>
            </w:pPr>
            <w:r w:rsidRPr="003D7015">
              <w:rPr>
                <w:rFonts w:asciiTheme="minorBidi" w:hAnsiTheme="minorBidi" w:cstheme="minorBidi"/>
                <w:b/>
                <w:sz w:val="24"/>
                <w:szCs w:val="24"/>
                <w:lang w:val="fr-CA"/>
              </w:rPr>
              <w:t>Historique de la politique</w:t>
            </w:r>
          </w:p>
        </w:tc>
      </w:tr>
      <w:tr w:rsidR="00805CFE" w:rsidRPr="003D7015" w14:paraId="6891BDA6" w14:textId="77777777" w:rsidTr="00B02854">
        <w:trPr>
          <w:trHeight w:val="397"/>
        </w:trPr>
        <w:tc>
          <w:tcPr>
            <w:tcW w:w="4408" w:type="dxa"/>
          </w:tcPr>
          <w:p w14:paraId="4C7C8D7F" w14:textId="77777777" w:rsidR="00805CFE" w:rsidRPr="003D7015" w:rsidRDefault="00805CFE" w:rsidP="005E799D">
            <w:pPr>
              <w:pStyle w:val="Body"/>
              <w:spacing w:before="0" w:after="0" w:line="240" w:lineRule="auto"/>
              <w:contextualSpacing/>
              <w:rPr>
                <w:rFonts w:asciiTheme="minorBidi" w:hAnsiTheme="minorBidi" w:cstheme="minorBidi"/>
                <w:sz w:val="24"/>
                <w:szCs w:val="24"/>
                <w:lang w:val="fr-CA"/>
              </w:rPr>
            </w:pPr>
            <w:r w:rsidRPr="003D7015">
              <w:rPr>
                <w:rFonts w:asciiTheme="minorBidi" w:hAnsiTheme="minorBidi" w:cstheme="minorBidi"/>
                <w:sz w:val="24"/>
                <w:szCs w:val="24"/>
                <w:lang w:val="fr-CA"/>
              </w:rPr>
              <w:t>Approuvée le</w:t>
            </w:r>
          </w:p>
        </w:tc>
        <w:tc>
          <w:tcPr>
            <w:tcW w:w="3109" w:type="dxa"/>
          </w:tcPr>
          <w:p w14:paraId="614D2BAF" w14:textId="77777777" w:rsidR="00805CFE" w:rsidRPr="003D7015" w:rsidRDefault="00805CFE" w:rsidP="005E799D">
            <w:pPr>
              <w:pStyle w:val="Body"/>
              <w:spacing w:before="0" w:after="0" w:line="240" w:lineRule="auto"/>
              <w:contextualSpacing/>
              <w:rPr>
                <w:rFonts w:asciiTheme="minorBidi" w:hAnsiTheme="minorBidi" w:cstheme="minorBidi"/>
                <w:b/>
                <w:sz w:val="24"/>
                <w:szCs w:val="24"/>
                <w:lang w:val="fr-CA"/>
              </w:rPr>
            </w:pPr>
            <w:r w:rsidRPr="003D7015">
              <w:rPr>
                <w:rFonts w:asciiTheme="minorBidi" w:hAnsiTheme="minorBidi" w:cstheme="minorBidi"/>
                <w:b/>
                <w:color w:val="000000"/>
                <w:sz w:val="24"/>
                <w:szCs w:val="24"/>
                <w:lang w:val="fr-CA"/>
              </w:rPr>
              <w:t>2021 01 21</w:t>
            </w:r>
          </w:p>
        </w:tc>
      </w:tr>
      <w:tr w:rsidR="00805CFE" w:rsidRPr="003D7015" w14:paraId="287D8616" w14:textId="77777777" w:rsidTr="00B02854">
        <w:trPr>
          <w:trHeight w:val="397"/>
        </w:trPr>
        <w:tc>
          <w:tcPr>
            <w:tcW w:w="4408" w:type="dxa"/>
          </w:tcPr>
          <w:p w14:paraId="3A258AC8" w14:textId="77777777" w:rsidR="00805CFE" w:rsidRPr="003D7015" w:rsidRDefault="00805CFE" w:rsidP="005E799D">
            <w:pPr>
              <w:pStyle w:val="Body"/>
              <w:spacing w:before="0" w:after="0" w:line="240" w:lineRule="auto"/>
              <w:contextualSpacing/>
              <w:rPr>
                <w:rFonts w:asciiTheme="minorBidi" w:hAnsiTheme="minorBidi" w:cstheme="minorBidi"/>
                <w:sz w:val="24"/>
                <w:szCs w:val="24"/>
                <w:lang w:val="fr-CA"/>
              </w:rPr>
            </w:pPr>
            <w:r w:rsidRPr="003D7015">
              <w:rPr>
                <w:rFonts w:asciiTheme="minorBidi" w:hAnsiTheme="minorBidi" w:cstheme="minorBidi"/>
                <w:sz w:val="24"/>
                <w:szCs w:val="24"/>
                <w:lang w:val="fr-CA"/>
              </w:rPr>
              <w:t>Date du prochain examen</w:t>
            </w:r>
          </w:p>
        </w:tc>
        <w:tc>
          <w:tcPr>
            <w:tcW w:w="3109" w:type="dxa"/>
          </w:tcPr>
          <w:p w14:paraId="4D49EFB3" w14:textId="77777777" w:rsidR="00805CFE" w:rsidRPr="003D7015" w:rsidRDefault="00805CFE" w:rsidP="005E799D">
            <w:pPr>
              <w:pStyle w:val="Body"/>
              <w:spacing w:before="0" w:after="0" w:line="240" w:lineRule="auto"/>
              <w:contextualSpacing/>
              <w:rPr>
                <w:rFonts w:asciiTheme="minorBidi" w:hAnsiTheme="minorBidi" w:cstheme="minorBidi"/>
                <w:b/>
                <w:sz w:val="24"/>
                <w:szCs w:val="24"/>
                <w:lang w:val="fr-CA"/>
              </w:rPr>
            </w:pPr>
          </w:p>
        </w:tc>
      </w:tr>
      <w:tr w:rsidR="00805CFE" w:rsidRPr="003D7015" w14:paraId="0A3E2BC5" w14:textId="77777777" w:rsidTr="00B02854">
        <w:trPr>
          <w:trHeight w:val="397"/>
        </w:trPr>
        <w:tc>
          <w:tcPr>
            <w:tcW w:w="4408" w:type="dxa"/>
          </w:tcPr>
          <w:p w14:paraId="728DCE95" w14:textId="77777777" w:rsidR="00805CFE" w:rsidRPr="003D7015" w:rsidRDefault="00805CFE" w:rsidP="005E799D">
            <w:pPr>
              <w:pStyle w:val="Body"/>
              <w:spacing w:before="0" w:after="0" w:line="240" w:lineRule="auto"/>
              <w:contextualSpacing/>
              <w:rPr>
                <w:rFonts w:asciiTheme="minorBidi" w:hAnsiTheme="minorBidi" w:cstheme="minorBidi"/>
                <w:sz w:val="24"/>
                <w:szCs w:val="24"/>
                <w:lang w:val="fr-CA"/>
              </w:rPr>
            </w:pPr>
            <w:r w:rsidRPr="003D7015">
              <w:rPr>
                <w:rFonts w:asciiTheme="minorBidi" w:hAnsiTheme="minorBidi" w:cstheme="minorBidi"/>
                <w:sz w:val="24"/>
                <w:szCs w:val="24"/>
                <w:lang w:val="fr-CA"/>
              </w:rPr>
              <w:t>Dates d’approbation des modifications</w:t>
            </w:r>
          </w:p>
        </w:tc>
        <w:tc>
          <w:tcPr>
            <w:tcW w:w="3109" w:type="dxa"/>
          </w:tcPr>
          <w:p w14:paraId="453B2D1B" w14:textId="77777777" w:rsidR="00805CFE" w:rsidRPr="003D7015" w:rsidRDefault="00805CFE" w:rsidP="005E799D">
            <w:pPr>
              <w:pStyle w:val="Body"/>
              <w:spacing w:before="0" w:after="0" w:line="240" w:lineRule="auto"/>
              <w:contextualSpacing/>
              <w:rPr>
                <w:rFonts w:asciiTheme="minorBidi" w:hAnsiTheme="minorBidi" w:cstheme="minorBidi"/>
                <w:b/>
                <w:sz w:val="24"/>
                <w:szCs w:val="24"/>
                <w:lang w:val="fr-CA"/>
              </w:rPr>
            </w:pPr>
          </w:p>
        </w:tc>
      </w:tr>
    </w:tbl>
    <w:p w14:paraId="0E21D892" w14:textId="77777777" w:rsidR="00805CFE" w:rsidRPr="003D7015" w:rsidRDefault="00805CFE" w:rsidP="00805CFE">
      <w:pPr>
        <w:pStyle w:val="Body"/>
        <w:spacing w:before="0" w:after="0" w:line="240" w:lineRule="auto"/>
        <w:contextualSpacing/>
        <w:rPr>
          <w:rFonts w:asciiTheme="minorBidi" w:hAnsiTheme="minorBidi" w:cstheme="minorBidi"/>
          <w:b/>
          <w:sz w:val="24"/>
          <w:szCs w:val="24"/>
          <w:lang w:val="fr-CA"/>
        </w:rPr>
      </w:pPr>
    </w:p>
    <w:p w14:paraId="437E0EC3" w14:textId="77777777" w:rsidR="00F44AD7" w:rsidRPr="003D7015" w:rsidRDefault="00F44AD7">
      <w:pPr>
        <w:contextualSpacing w:val="0"/>
        <w:rPr>
          <w:rFonts w:cstheme="minorBidi"/>
          <w:b/>
          <w:sz w:val="24"/>
          <w:szCs w:val="24"/>
          <w:lang w:val="fr-CA" w:bidi="ar-SA"/>
        </w:rPr>
      </w:pPr>
    </w:p>
    <w:sectPr w:rsidR="00F44AD7" w:rsidRPr="003D70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5403" w14:textId="77777777" w:rsidR="00EB50C0" w:rsidRDefault="00EB50C0" w:rsidP="00E061AE">
      <w:r>
        <w:separator/>
      </w:r>
    </w:p>
  </w:endnote>
  <w:endnote w:type="continuationSeparator" w:id="0">
    <w:p w14:paraId="3C0C3075" w14:textId="77777777" w:rsidR="00EB50C0" w:rsidRDefault="00EB50C0" w:rsidP="00E0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B2A7" w14:textId="77777777" w:rsidR="00E061AE" w:rsidRDefault="00E0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A6B6" w14:textId="77777777" w:rsidR="00E061AE" w:rsidRDefault="00E061AE" w:rsidP="00E061AE">
    <w:pPr>
      <w:pStyle w:val="Footer"/>
      <w:jc w:val="center"/>
    </w:pPr>
    <w:r>
      <w:rPr>
        <w:noProof/>
        <w:lang w:eastAsia="en-CA" w:bidi="ar-SA"/>
      </w:rPr>
      <w:drawing>
        <wp:inline distT="0" distB="0" distL="0" distR="0" wp14:anchorId="0FE46CFD" wp14:editId="4935EFB7">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31E2" w14:textId="77777777" w:rsidR="00E061AE" w:rsidRDefault="00E0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6A16" w14:textId="77777777" w:rsidR="00EB50C0" w:rsidRDefault="00EB50C0" w:rsidP="00E061AE">
      <w:r>
        <w:separator/>
      </w:r>
    </w:p>
  </w:footnote>
  <w:footnote w:type="continuationSeparator" w:id="0">
    <w:p w14:paraId="4CC44AF8" w14:textId="77777777" w:rsidR="00EB50C0" w:rsidRDefault="00EB50C0" w:rsidP="00E0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316E" w14:textId="77777777" w:rsidR="00E061AE" w:rsidRDefault="00E06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C10B" w14:textId="77777777" w:rsidR="00E061AE" w:rsidRDefault="00E061AE">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431C0F75" wp14:editId="2689CF5A">
          <wp:simplePos x="0" y="0"/>
          <wp:positionH relativeFrom="margin">
            <wp:align>center</wp:align>
          </wp:positionH>
          <wp:positionV relativeFrom="paragraph">
            <wp:posOffset>-333144</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C676" w14:textId="77777777" w:rsidR="00E061AE" w:rsidRDefault="00E0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4"/>
    <w:multiLevelType w:val="hybridMultilevel"/>
    <w:tmpl w:val="7D3CE89C"/>
    <w:lvl w:ilvl="0" w:tplc="0409000F">
      <w:start w:val="1"/>
      <w:numFmt w:val="decimal"/>
      <w:lvlText w:val="%1."/>
      <w:lvlJc w:val="left"/>
      <w:pPr>
        <w:ind w:left="360"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FE"/>
    <w:rsid w:val="002E0D22"/>
    <w:rsid w:val="003D7015"/>
    <w:rsid w:val="00805CFE"/>
    <w:rsid w:val="008F5EED"/>
    <w:rsid w:val="00B02854"/>
    <w:rsid w:val="00E061AE"/>
    <w:rsid w:val="00EB50C0"/>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9606"/>
  <w15:chartTrackingRefBased/>
  <w15:docId w15:val="{6C376961-8937-415D-915E-7FD2C42D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CFE"/>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805CFE"/>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805CFE"/>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CFE"/>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805CFE"/>
    <w:rPr>
      <w:rFonts w:asciiTheme="minorBidi" w:eastAsia="Times New Roman" w:hAnsiTheme="minorBidi" w:cs="Times New Roman"/>
      <w:b/>
      <w:bCs/>
      <w:sz w:val="28"/>
      <w:szCs w:val="26"/>
      <w:lang w:val="x-none" w:eastAsia="x-none"/>
    </w:rPr>
  </w:style>
  <w:style w:type="paragraph" w:styleId="ListParagraph">
    <w:name w:val="List Paragraph"/>
    <w:basedOn w:val="Normal"/>
    <w:uiPriority w:val="34"/>
    <w:qFormat/>
    <w:rsid w:val="00805CFE"/>
    <w:pPr>
      <w:ind w:left="720"/>
    </w:pPr>
  </w:style>
  <w:style w:type="character" w:customStyle="1" w:styleId="BodyChar">
    <w:name w:val="Body Char"/>
    <w:basedOn w:val="DefaultParagraphFont"/>
    <w:link w:val="Body"/>
    <w:locked/>
    <w:rsid w:val="00805CFE"/>
    <w:rPr>
      <w:rFonts w:cs="Arial"/>
    </w:rPr>
  </w:style>
  <w:style w:type="paragraph" w:customStyle="1" w:styleId="Body">
    <w:name w:val="Body"/>
    <w:basedOn w:val="Normal"/>
    <w:link w:val="BodyChar"/>
    <w:qFormat/>
    <w:rsid w:val="00805CFE"/>
    <w:pPr>
      <w:spacing w:before="60" w:after="60" w:line="288" w:lineRule="auto"/>
      <w:contextualSpacing w:val="0"/>
    </w:pPr>
    <w:rPr>
      <w:rFonts w:asciiTheme="minorHAnsi" w:eastAsiaTheme="minorHAnsi" w:hAnsiTheme="minorHAnsi" w:cs="Arial"/>
      <w:sz w:val="22"/>
      <w:lang w:bidi="ar-SA"/>
    </w:rPr>
  </w:style>
  <w:style w:type="table" w:styleId="TableGrid">
    <w:name w:val="Table Grid"/>
    <w:basedOn w:val="TableNormal"/>
    <w:uiPriority w:val="59"/>
    <w:rsid w:val="00805CF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1AE"/>
    <w:pPr>
      <w:tabs>
        <w:tab w:val="center" w:pos="4680"/>
        <w:tab w:val="right" w:pos="9360"/>
      </w:tabs>
    </w:pPr>
  </w:style>
  <w:style w:type="character" w:customStyle="1" w:styleId="HeaderChar">
    <w:name w:val="Header Char"/>
    <w:basedOn w:val="DefaultParagraphFont"/>
    <w:link w:val="Header"/>
    <w:uiPriority w:val="99"/>
    <w:rsid w:val="00E061AE"/>
    <w:rPr>
      <w:rFonts w:asciiTheme="minorBidi" w:eastAsia="Calibri" w:hAnsiTheme="minorBidi" w:cs="Times New Roman"/>
      <w:sz w:val="28"/>
      <w:lang w:bidi="en-US"/>
    </w:rPr>
  </w:style>
  <w:style w:type="paragraph" w:styleId="Footer">
    <w:name w:val="footer"/>
    <w:basedOn w:val="Normal"/>
    <w:link w:val="FooterChar"/>
    <w:uiPriority w:val="99"/>
    <w:unhideWhenUsed/>
    <w:rsid w:val="00E061AE"/>
    <w:pPr>
      <w:tabs>
        <w:tab w:val="center" w:pos="4680"/>
        <w:tab w:val="right" w:pos="9360"/>
      </w:tabs>
    </w:pPr>
  </w:style>
  <w:style w:type="character" w:customStyle="1" w:styleId="FooterChar">
    <w:name w:val="Footer Char"/>
    <w:basedOn w:val="DefaultParagraphFont"/>
    <w:link w:val="Footer"/>
    <w:uiPriority w:val="99"/>
    <w:rsid w:val="00E061AE"/>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But</vt:lpstr>
      <vt:lpstr>    Application de la présente Politique</vt:lpstr>
      <vt:lpstr>    Facilitation et médiation</vt:lpstr>
      <vt:lpstr>    Décision exécutoire et sans appel</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5</cp:revision>
  <dcterms:created xsi:type="dcterms:W3CDTF">2021-10-25T21:00:00Z</dcterms:created>
  <dcterms:modified xsi:type="dcterms:W3CDTF">2021-11-05T04:05:00Z</dcterms:modified>
</cp:coreProperties>
</file>