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442" w:rsidRPr="00CB1763" w:rsidRDefault="00AA1442">
      <w:pPr>
        <w:rPr>
          <w:rFonts w:ascii="Arial" w:hAnsi="Arial" w:cs="Arial"/>
          <w:sz w:val="24"/>
          <w:szCs w:val="24"/>
          <w:lang w:val="fr-CA"/>
        </w:rPr>
      </w:pPr>
      <w:r w:rsidRPr="00CB1763">
        <w:rPr>
          <w:rFonts w:ascii="Arial" w:hAnsi="Arial" w:cs="Arial"/>
          <w:sz w:val="24"/>
          <w:szCs w:val="24"/>
          <w:lang w:val="fr-CA"/>
        </w:rPr>
        <w:t>Présentation devant le comité d’examen du code de classification et des normes internationales du CIP</w:t>
      </w:r>
    </w:p>
    <w:p w:rsidR="006F65FB" w:rsidRPr="00CB1763" w:rsidRDefault="005A773C">
      <w:pPr>
        <w:rPr>
          <w:rFonts w:ascii="Arial" w:hAnsi="Arial" w:cs="Arial"/>
          <w:sz w:val="24"/>
          <w:szCs w:val="24"/>
          <w:lang w:val="fr-CA"/>
        </w:rPr>
      </w:pPr>
      <w:r w:rsidRPr="00CB1763">
        <w:rPr>
          <w:rFonts w:ascii="Arial" w:hAnsi="Arial" w:cs="Arial"/>
          <w:sz w:val="24"/>
          <w:szCs w:val="24"/>
          <w:lang w:val="fr-CA"/>
        </w:rPr>
        <w:t>Novembre</w:t>
      </w:r>
      <w:r w:rsidR="006F65FB" w:rsidRPr="00CB1763">
        <w:rPr>
          <w:rFonts w:ascii="Arial" w:hAnsi="Arial" w:cs="Arial"/>
          <w:sz w:val="24"/>
          <w:szCs w:val="24"/>
          <w:lang w:val="fr-CA"/>
        </w:rPr>
        <w:t xml:space="preserve"> 2007</w:t>
      </w:r>
    </w:p>
    <w:p w:rsidR="006F65FB" w:rsidRPr="00CB1763" w:rsidRDefault="006F65FB">
      <w:pPr>
        <w:rPr>
          <w:rFonts w:ascii="Arial" w:hAnsi="Arial" w:cs="Arial"/>
          <w:sz w:val="24"/>
          <w:szCs w:val="24"/>
          <w:lang w:val="fr-CA"/>
        </w:rPr>
      </w:pPr>
    </w:p>
    <w:p w:rsidR="006F65FB" w:rsidRPr="00CB1763" w:rsidRDefault="006F65FB">
      <w:pPr>
        <w:rPr>
          <w:rFonts w:ascii="Arial" w:hAnsi="Arial" w:cs="Arial"/>
          <w:sz w:val="24"/>
          <w:szCs w:val="24"/>
          <w:lang w:val="fr-CA"/>
        </w:rPr>
      </w:pPr>
    </w:p>
    <w:p w:rsidR="006F65FB" w:rsidRPr="00CB1763" w:rsidRDefault="005A773C">
      <w:pPr>
        <w:rPr>
          <w:rFonts w:ascii="Arial" w:hAnsi="Arial" w:cs="Arial"/>
          <w:sz w:val="24"/>
          <w:szCs w:val="24"/>
          <w:lang w:val="fr-CA"/>
        </w:rPr>
      </w:pPr>
      <w:r w:rsidRPr="00CB1763">
        <w:rPr>
          <w:rFonts w:ascii="Arial" w:hAnsi="Arial" w:cs="Arial"/>
          <w:sz w:val="24"/>
          <w:szCs w:val="24"/>
          <w:lang w:val="fr-CA"/>
        </w:rPr>
        <w:t xml:space="preserve">Présenté par </w:t>
      </w:r>
      <w:r w:rsidR="006F65FB" w:rsidRPr="00CB1763">
        <w:rPr>
          <w:rFonts w:ascii="Arial" w:hAnsi="Arial" w:cs="Arial"/>
          <w:sz w:val="24"/>
          <w:szCs w:val="24"/>
          <w:lang w:val="fr-CA"/>
        </w:rPr>
        <w:t>:</w:t>
      </w:r>
    </w:p>
    <w:p w:rsidR="006F65FB" w:rsidRPr="00CB1763" w:rsidRDefault="006F65FB">
      <w:pPr>
        <w:rPr>
          <w:rFonts w:ascii="Arial" w:hAnsi="Arial" w:cs="Arial"/>
          <w:sz w:val="24"/>
          <w:szCs w:val="24"/>
          <w:lang w:val="fr-CA"/>
        </w:rPr>
      </w:pPr>
    </w:p>
    <w:p w:rsidR="006F65FB" w:rsidRPr="00CB1763" w:rsidRDefault="006F65FB">
      <w:pPr>
        <w:rPr>
          <w:rFonts w:ascii="Arial" w:hAnsi="Arial" w:cs="Arial"/>
          <w:sz w:val="24"/>
          <w:szCs w:val="24"/>
          <w:lang w:val="fr-CA"/>
        </w:rPr>
      </w:pPr>
      <w:r w:rsidRPr="00CB1763">
        <w:rPr>
          <w:rFonts w:ascii="Arial" w:hAnsi="Arial" w:cs="Arial"/>
          <w:sz w:val="24"/>
          <w:szCs w:val="24"/>
          <w:lang w:val="fr-CA"/>
        </w:rPr>
        <w:t>Association</w:t>
      </w:r>
      <w:r w:rsidR="005A773C" w:rsidRPr="00CB1763">
        <w:rPr>
          <w:rFonts w:ascii="Arial" w:hAnsi="Arial" w:cs="Arial"/>
          <w:sz w:val="24"/>
          <w:szCs w:val="24"/>
          <w:lang w:val="fr-CA"/>
        </w:rPr>
        <w:t xml:space="preserve"> canadienne des sports pour aveugles</w:t>
      </w:r>
    </w:p>
    <w:p w:rsidR="006F65FB" w:rsidRPr="00CB1763" w:rsidRDefault="006F65FB" w:rsidP="006F65FB">
      <w:pPr>
        <w:rPr>
          <w:rFonts w:ascii="Arial" w:hAnsi="Arial" w:cs="Arial"/>
          <w:sz w:val="24"/>
          <w:szCs w:val="24"/>
          <w:lang w:val="fr-CA"/>
        </w:rPr>
      </w:pPr>
      <w:r w:rsidRPr="00CB1763">
        <w:rPr>
          <w:rFonts w:ascii="Arial" w:hAnsi="Arial" w:cs="Arial"/>
          <w:sz w:val="24"/>
          <w:szCs w:val="24"/>
          <w:lang w:val="fr-CA"/>
        </w:rPr>
        <w:t xml:space="preserve">325 </w:t>
      </w:r>
      <w:r w:rsidR="005A773C" w:rsidRPr="00CB1763">
        <w:rPr>
          <w:rFonts w:ascii="Arial" w:hAnsi="Arial" w:cs="Arial"/>
          <w:sz w:val="24"/>
          <w:szCs w:val="24"/>
          <w:lang w:val="fr-CA"/>
        </w:rPr>
        <w:t>–</w:t>
      </w:r>
      <w:r w:rsidRPr="00CB1763">
        <w:rPr>
          <w:rFonts w:ascii="Arial" w:hAnsi="Arial" w:cs="Arial"/>
          <w:sz w:val="24"/>
          <w:szCs w:val="24"/>
          <w:lang w:val="fr-CA"/>
        </w:rPr>
        <w:t xml:space="preserve"> 5055</w:t>
      </w:r>
      <w:r w:rsidR="005A773C" w:rsidRPr="00CB1763">
        <w:rPr>
          <w:rFonts w:ascii="Arial" w:hAnsi="Arial" w:cs="Arial"/>
          <w:sz w:val="24"/>
          <w:szCs w:val="24"/>
          <w:lang w:val="fr-CA"/>
        </w:rPr>
        <w:t>,</w:t>
      </w:r>
      <w:r w:rsidRPr="00CB1763">
        <w:rPr>
          <w:rFonts w:ascii="Arial" w:hAnsi="Arial" w:cs="Arial"/>
          <w:sz w:val="24"/>
          <w:szCs w:val="24"/>
          <w:lang w:val="fr-CA"/>
        </w:rPr>
        <w:t xml:space="preserve"> </w:t>
      </w:r>
      <w:r w:rsidR="00CF42C6">
        <w:rPr>
          <w:rFonts w:ascii="Arial" w:hAnsi="Arial" w:cs="Arial"/>
          <w:sz w:val="24"/>
          <w:szCs w:val="24"/>
          <w:lang w:val="fr-CA"/>
        </w:rPr>
        <w:t xml:space="preserve">rue </w:t>
      </w:r>
      <w:r w:rsidRPr="00CB1763">
        <w:rPr>
          <w:rFonts w:ascii="Arial" w:hAnsi="Arial" w:cs="Arial"/>
          <w:sz w:val="24"/>
          <w:szCs w:val="24"/>
          <w:lang w:val="fr-CA"/>
        </w:rPr>
        <w:t xml:space="preserve">Joyce </w:t>
      </w:r>
    </w:p>
    <w:p w:rsidR="006F65FB" w:rsidRPr="00CB1763" w:rsidRDefault="005A773C" w:rsidP="006F65FB">
      <w:pPr>
        <w:rPr>
          <w:rFonts w:ascii="Arial" w:hAnsi="Arial" w:cs="Arial"/>
          <w:sz w:val="24"/>
          <w:szCs w:val="24"/>
          <w:lang w:val="fr-CA"/>
        </w:rPr>
      </w:pPr>
      <w:r w:rsidRPr="00CB1763">
        <w:rPr>
          <w:rFonts w:ascii="Arial" w:hAnsi="Arial" w:cs="Arial"/>
          <w:sz w:val="24"/>
          <w:szCs w:val="24"/>
          <w:lang w:val="fr-CA"/>
        </w:rPr>
        <w:t xml:space="preserve">Vancouver </w:t>
      </w:r>
      <w:r w:rsidR="00CF42C6">
        <w:rPr>
          <w:rFonts w:ascii="Arial" w:hAnsi="Arial" w:cs="Arial"/>
          <w:sz w:val="24"/>
          <w:szCs w:val="24"/>
          <w:lang w:val="fr-CA"/>
        </w:rPr>
        <w:t>(</w:t>
      </w:r>
      <w:r w:rsidR="006F65FB" w:rsidRPr="00CB1763">
        <w:rPr>
          <w:rFonts w:ascii="Arial" w:hAnsi="Arial" w:cs="Arial"/>
          <w:sz w:val="24"/>
          <w:szCs w:val="24"/>
          <w:lang w:val="fr-CA"/>
        </w:rPr>
        <w:t>C</w:t>
      </w:r>
      <w:r w:rsidRPr="00CB1763">
        <w:rPr>
          <w:rFonts w:ascii="Arial" w:hAnsi="Arial" w:cs="Arial"/>
          <w:sz w:val="24"/>
          <w:szCs w:val="24"/>
          <w:lang w:val="fr-CA"/>
        </w:rPr>
        <w:t>.-B.</w:t>
      </w:r>
      <w:r w:rsidR="00CF42C6">
        <w:rPr>
          <w:rFonts w:ascii="Arial" w:hAnsi="Arial" w:cs="Arial"/>
          <w:sz w:val="24"/>
          <w:szCs w:val="24"/>
          <w:lang w:val="fr-CA"/>
        </w:rPr>
        <w:t>)</w:t>
      </w:r>
    </w:p>
    <w:p w:rsidR="006F65FB" w:rsidRPr="00CB1763" w:rsidRDefault="006F65FB" w:rsidP="006F65FB">
      <w:pPr>
        <w:rPr>
          <w:rFonts w:ascii="Arial" w:hAnsi="Arial" w:cs="Arial"/>
          <w:sz w:val="24"/>
          <w:szCs w:val="24"/>
          <w:lang w:val="fr-CA"/>
        </w:rPr>
      </w:pPr>
      <w:r w:rsidRPr="00CB1763">
        <w:rPr>
          <w:rFonts w:ascii="Arial" w:hAnsi="Arial" w:cs="Arial"/>
          <w:sz w:val="24"/>
          <w:szCs w:val="24"/>
          <w:lang w:val="fr-CA"/>
        </w:rPr>
        <w:t>V5R 6B2</w:t>
      </w:r>
    </w:p>
    <w:p w:rsidR="006F65FB" w:rsidRPr="00CB1763" w:rsidRDefault="006F65FB" w:rsidP="006F65FB">
      <w:pPr>
        <w:rPr>
          <w:rFonts w:ascii="Arial" w:hAnsi="Arial" w:cs="Arial"/>
          <w:sz w:val="24"/>
          <w:szCs w:val="24"/>
          <w:lang w:val="fr-CA"/>
        </w:rPr>
      </w:pPr>
      <w:r w:rsidRPr="00CB1763">
        <w:rPr>
          <w:rFonts w:ascii="Arial" w:hAnsi="Arial" w:cs="Arial"/>
          <w:sz w:val="24"/>
          <w:szCs w:val="24"/>
          <w:lang w:val="fr-CA"/>
        </w:rPr>
        <w:t>Canada</w:t>
      </w:r>
    </w:p>
    <w:p w:rsidR="006F65FB" w:rsidRPr="00CB1763" w:rsidRDefault="005A773C" w:rsidP="006F65FB">
      <w:pPr>
        <w:rPr>
          <w:rFonts w:ascii="Arial" w:hAnsi="Arial" w:cs="Arial"/>
          <w:sz w:val="24"/>
          <w:szCs w:val="24"/>
          <w:lang w:val="fr-CA"/>
        </w:rPr>
      </w:pPr>
      <w:r w:rsidRPr="00CB1763">
        <w:rPr>
          <w:rFonts w:ascii="Arial" w:hAnsi="Arial" w:cs="Arial"/>
          <w:sz w:val="24"/>
          <w:szCs w:val="24"/>
          <w:lang w:val="fr-CA"/>
        </w:rPr>
        <w:t>Télép</w:t>
      </w:r>
      <w:r w:rsidR="006F65FB" w:rsidRPr="00CB1763">
        <w:rPr>
          <w:rFonts w:ascii="Arial" w:hAnsi="Arial" w:cs="Arial"/>
          <w:sz w:val="24"/>
          <w:szCs w:val="24"/>
          <w:lang w:val="fr-CA"/>
        </w:rPr>
        <w:t>hone</w:t>
      </w:r>
      <w:r w:rsidRPr="00CB1763">
        <w:rPr>
          <w:rFonts w:ascii="Arial" w:hAnsi="Arial" w:cs="Arial"/>
          <w:sz w:val="24"/>
          <w:szCs w:val="24"/>
          <w:lang w:val="fr-CA"/>
        </w:rPr>
        <w:t> </w:t>
      </w:r>
      <w:r w:rsidR="006F65FB" w:rsidRPr="00CB1763">
        <w:rPr>
          <w:rFonts w:ascii="Arial" w:hAnsi="Arial" w:cs="Arial"/>
          <w:sz w:val="24"/>
          <w:szCs w:val="24"/>
          <w:lang w:val="fr-CA"/>
        </w:rPr>
        <w:t>:</w:t>
      </w:r>
      <w:r w:rsidR="00544A89" w:rsidRPr="00CB1763">
        <w:rPr>
          <w:rFonts w:ascii="Arial" w:hAnsi="Arial" w:cs="Arial"/>
          <w:sz w:val="24"/>
          <w:szCs w:val="24"/>
          <w:lang w:val="fr-CA"/>
        </w:rPr>
        <w:t xml:space="preserve"> + </w:t>
      </w:r>
      <w:r w:rsidR="006F65FB" w:rsidRPr="00CB1763">
        <w:rPr>
          <w:rFonts w:ascii="Arial" w:hAnsi="Arial" w:cs="Arial"/>
          <w:sz w:val="24"/>
          <w:szCs w:val="24"/>
          <w:lang w:val="fr-CA"/>
        </w:rPr>
        <w:t>1 604 419-0480</w:t>
      </w:r>
    </w:p>
    <w:p w:rsidR="006F65FB" w:rsidRPr="00CB1763" w:rsidRDefault="005A773C">
      <w:pPr>
        <w:rPr>
          <w:rFonts w:ascii="Arial" w:hAnsi="Arial" w:cs="Arial"/>
          <w:sz w:val="24"/>
          <w:szCs w:val="24"/>
          <w:lang w:val="fr-CA"/>
        </w:rPr>
      </w:pPr>
      <w:r w:rsidRPr="00CB1763">
        <w:rPr>
          <w:rFonts w:ascii="Arial" w:hAnsi="Arial" w:cs="Arial"/>
          <w:sz w:val="24"/>
          <w:szCs w:val="24"/>
          <w:lang w:val="fr-CA"/>
        </w:rPr>
        <w:t>Courriel : info@canadianblindsports.ca</w:t>
      </w:r>
    </w:p>
    <w:p w:rsidR="006F65FB" w:rsidRPr="00CB1763" w:rsidRDefault="006F65FB">
      <w:pPr>
        <w:rPr>
          <w:rFonts w:ascii="Arial" w:hAnsi="Arial" w:cs="Arial"/>
          <w:sz w:val="24"/>
          <w:szCs w:val="24"/>
          <w:lang w:val="fr-CA"/>
        </w:rPr>
      </w:pPr>
    </w:p>
    <w:p w:rsidR="006F65FB" w:rsidRPr="00CB1763" w:rsidRDefault="006F65FB">
      <w:pPr>
        <w:rPr>
          <w:rFonts w:ascii="Arial" w:hAnsi="Arial" w:cs="Arial"/>
          <w:sz w:val="24"/>
          <w:szCs w:val="24"/>
          <w:lang w:val="fr-CA"/>
        </w:rPr>
      </w:pPr>
    </w:p>
    <w:p w:rsidR="006F65FB" w:rsidRPr="00CB1763" w:rsidRDefault="005A773C">
      <w:pPr>
        <w:rPr>
          <w:rFonts w:ascii="Arial" w:hAnsi="Arial" w:cs="Arial"/>
          <w:sz w:val="24"/>
          <w:szCs w:val="24"/>
          <w:lang w:val="fr-CA"/>
        </w:rPr>
      </w:pPr>
      <w:r w:rsidRPr="00CB1763">
        <w:rPr>
          <w:rFonts w:ascii="Arial" w:hAnsi="Arial" w:cs="Arial"/>
          <w:sz w:val="24"/>
          <w:szCs w:val="24"/>
          <w:lang w:val="fr-CA"/>
        </w:rPr>
        <w:t>30 septembre 2013</w:t>
      </w:r>
    </w:p>
    <w:p w:rsidR="00C9159B" w:rsidRPr="00CB1763" w:rsidRDefault="00C9159B">
      <w:pPr>
        <w:rPr>
          <w:rFonts w:ascii="Arial" w:hAnsi="Arial" w:cs="Arial"/>
          <w:sz w:val="24"/>
          <w:szCs w:val="24"/>
          <w:lang w:val="fr-CA"/>
        </w:rPr>
      </w:pPr>
    </w:p>
    <w:p w:rsidR="00C9159B" w:rsidRPr="00CB1763" w:rsidRDefault="00C9159B">
      <w:pPr>
        <w:rPr>
          <w:rFonts w:ascii="Arial" w:hAnsi="Arial" w:cs="Arial"/>
          <w:sz w:val="24"/>
          <w:szCs w:val="24"/>
          <w:lang w:val="fr-CA"/>
        </w:rPr>
      </w:pPr>
    </w:p>
    <w:p w:rsidR="00C9159B" w:rsidRPr="00CB1763" w:rsidRDefault="00C9159B">
      <w:pPr>
        <w:rPr>
          <w:rFonts w:ascii="Arial" w:hAnsi="Arial" w:cs="Arial"/>
          <w:sz w:val="24"/>
          <w:szCs w:val="24"/>
          <w:lang w:val="fr-CA"/>
        </w:rPr>
      </w:pPr>
    </w:p>
    <w:p w:rsidR="00C9159B" w:rsidRPr="00CB1763" w:rsidRDefault="00C9159B">
      <w:pPr>
        <w:rPr>
          <w:rFonts w:ascii="Arial" w:hAnsi="Arial" w:cs="Arial"/>
          <w:sz w:val="24"/>
          <w:szCs w:val="24"/>
          <w:lang w:val="fr-CA"/>
        </w:rPr>
      </w:pPr>
    </w:p>
    <w:p w:rsidR="00C9159B" w:rsidRPr="00CB1763" w:rsidRDefault="00C9159B">
      <w:pPr>
        <w:rPr>
          <w:rFonts w:ascii="Arial" w:hAnsi="Arial" w:cs="Arial"/>
          <w:sz w:val="24"/>
          <w:szCs w:val="24"/>
          <w:lang w:val="fr-CA"/>
        </w:rPr>
      </w:pPr>
    </w:p>
    <w:p w:rsidR="00C9159B" w:rsidRPr="00CB1763" w:rsidRDefault="00C9159B">
      <w:pPr>
        <w:rPr>
          <w:rFonts w:ascii="Arial" w:hAnsi="Arial" w:cs="Arial"/>
          <w:sz w:val="24"/>
          <w:szCs w:val="24"/>
          <w:lang w:val="fr-CA"/>
        </w:rPr>
      </w:pPr>
    </w:p>
    <w:p w:rsidR="00C9159B" w:rsidRPr="00CB1763" w:rsidRDefault="00C9159B">
      <w:pPr>
        <w:rPr>
          <w:rFonts w:ascii="Arial" w:hAnsi="Arial" w:cs="Arial"/>
          <w:sz w:val="24"/>
          <w:szCs w:val="24"/>
          <w:lang w:val="fr-CA"/>
        </w:rPr>
      </w:pPr>
    </w:p>
    <w:p w:rsidR="00C9159B" w:rsidRPr="00CB1763" w:rsidRDefault="00C9159B">
      <w:pPr>
        <w:rPr>
          <w:rFonts w:ascii="Arial" w:hAnsi="Arial" w:cs="Arial"/>
          <w:sz w:val="24"/>
          <w:szCs w:val="24"/>
          <w:lang w:val="fr-CA"/>
        </w:rPr>
      </w:pPr>
    </w:p>
    <w:sdt>
      <w:sdtPr>
        <w:rPr>
          <w:rFonts w:asciiTheme="minorHAnsi" w:eastAsiaTheme="minorHAnsi" w:hAnsiTheme="minorHAnsi" w:cstheme="minorBidi"/>
          <w:b w:val="0"/>
          <w:bCs w:val="0"/>
          <w:color w:val="auto"/>
          <w:sz w:val="22"/>
          <w:szCs w:val="22"/>
          <w:lang w:val="fr-CA" w:eastAsia="en-US"/>
        </w:rPr>
        <w:id w:val="-1959561417"/>
        <w:docPartObj>
          <w:docPartGallery w:val="Table of Contents"/>
          <w:docPartUnique/>
        </w:docPartObj>
      </w:sdtPr>
      <w:sdtEndPr>
        <w:rPr>
          <w:noProof/>
        </w:rPr>
      </w:sdtEndPr>
      <w:sdtContent>
        <w:p w:rsidR="00C11769" w:rsidRPr="00CB1763" w:rsidRDefault="005A773C">
          <w:pPr>
            <w:pStyle w:val="TOCHeading"/>
            <w:rPr>
              <w:lang w:val="fr-CA"/>
            </w:rPr>
          </w:pPr>
          <w:r w:rsidRPr="00CB1763">
            <w:rPr>
              <w:lang w:val="fr-CA"/>
            </w:rPr>
            <w:t>Table des matières</w:t>
          </w:r>
        </w:p>
        <w:p w:rsidR="00C11769" w:rsidRPr="00CB1763" w:rsidRDefault="00487409">
          <w:pPr>
            <w:pStyle w:val="TOC1"/>
            <w:tabs>
              <w:tab w:val="left" w:pos="440"/>
              <w:tab w:val="right" w:leader="dot" w:pos="9350"/>
            </w:tabs>
            <w:rPr>
              <w:rFonts w:eastAsiaTheme="minorEastAsia"/>
              <w:noProof/>
              <w:lang w:val="fr-CA" w:eastAsia="en-CA"/>
            </w:rPr>
          </w:pPr>
          <w:r w:rsidRPr="00487409">
            <w:rPr>
              <w:lang w:val="fr-CA"/>
            </w:rPr>
            <w:fldChar w:fldCharType="begin"/>
          </w:r>
          <w:r w:rsidR="00C11769" w:rsidRPr="00CB1763">
            <w:rPr>
              <w:lang w:val="fr-CA"/>
            </w:rPr>
            <w:instrText xml:space="preserve"> TOC \o "1-3" \h \z \u </w:instrText>
          </w:r>
          <w:r w:rsidRPr="00487409">
            <w:rPr>
              <w:lang w:val="fr-CA"/>
            </w:rPr>
            <w:fldChar w:fldCharType="separate"/>
          </w:r>
          <w:hyperlink w:anchor="_Toc368318332" w:history="1">
            <w:r w:rsidR="00C11769" w:rsidRPr="00CB1763">
              <w:rPr>
                <w:rStyle w:val="Hyperlink"/>
                <w:noProof/>
                <w:lang w:val="fr-CA"/>
              </w:rPr>
              <w:t>I.</w:t>
            </w:r>
            <w:r w:rsidR="00C11769" w:rsidRPr="00CB1763">
              <w:rPr>
                <w:rFonts w:eastAsiaTheme="minorEastAsia"/>
                <w:noProof/>
                <w:lang w:val="fr-CA" w:eastAsia="en-CA"/>
              </w:rPr>
              <w:tab/>
            </w:r>
            <w:r w:rsidR="00C11769" w:rsidRPr="00CB1763">
              <w:rPr>
                <w:rStyle w:val="Hyperlink"/>
                <w:noProof/>
                <w:lang w:val="fr-CA"/>
              </w:rPr>
              <w:t>Introduction</w:t>
            </w:r>
            <w:r w:rsidR="00C11769" w:rsidRPr="00CB1763">
              <w:rPr>
                <w:noProof/>
                <w:webHidden/>
                <w:lang w:val="fr-CA"/>
              </w:rPr>
              <w:tab/>
            </w:r>
            <w:r w:rsidRPr="00CB1763">
              <w:rPr>
                <w:noProof/>
                <w:webHidden/>
                <w:lang w:val="fr-CA"/>
              </w:rPr>
              <w:fldChar w:fldCharType="begin"/>
            </w:r>
            <w:r w:rsidR="00C11769" w:rsidRPr="00CB1763">
              <w:rPr>
                <w:noProof/>
                <w:webHidden/>
                <w:lang w:val="fr-CA"/>
              </w:rPr>
              <w:instrText xml:space="preserve"> PAGEREF _Toc368318332 \h </w:instrText>
            </w:r>
            <w:r w:rsidRPr="00CB1763">
              <w:rPr>
                <w:noProof/>
                <w:webHidden/>
                <w:lang w:val="fr-CA"/>
              </w:rPr>
            </w:r>
            <w:r w:rsidRPr="00CB1763">
              <w:rPr>
                <w:noProof/>
                <w:webHidden/>
                <w:lang w:val="fr-CA"/>
              </w:rPr>
              <w:fldChar w:fldCharType="separate"/>
            </w:r>
            <w:r w:rsidR="00293C96" w:rsidRPr="00CB1763">
              <w:rPr>
                <w:noProof/>
                <w:webHidden/>
                <w:lang w:val="fr-CA"/>
              </w:rPr>
              <w:t>4</w:t>
            </w:r>
            <w:r w:rsidRPr="00CB1763">
              <w:rPr>
                <w:noProof/>
                <w:webHidden/>
                <w:lang w:val="fr-CA"/>
              </w:rPr>
              <w:fldChar w:fldCharType="end"/>
            </w:r>
          </w:hyperlink>
        </w:p>
        <w:p w:rsidR="00C11769" w:rsidRPr="00CB1763" w:rsidRDefault="00487409">
          <w:pPr>
            <w:pStyle w:val="TOC1"/>
            <w:tabs>
              <w:tab w:val="left" w:pos="440"/>
              <w:tab w:val="right" w:leader="dot" w:pos="9350"/>
            </w:tabs>
            <w:rPr>
              <w:rFonts w:eastAsiaTheme="minorEastAsia"/>
              <w:noProof/>
              <w:lang w:val="fr-CA" w:eastAsia="en-CA"/>
            </w:rPr>
          </w:pPr>
          <w:hyperlink w:anchor="_Toc368318333" w:history="1">
            <w:r w:rsidR="00C11769" w:rsidRPr="00CB1763">
              <w:rPr>
                <w:rStyle w:val="Hyperlink"/>
                <w:noProof/>
                <w:lang w:val="fr-CA"/>
              </w:rPr>
              <w:t>II.</w:t>
            </w:r>
            <w:r w:rsidR="00C11769" w:rsidRPr="00CB1763">
              <w:rPr>
                <w:rFonts w:eastAsiaTheme="minorEastAsia"/>
                <w:noProof/>
                <w:lang w:val="fr-CA" w:eastAsia="en-CA"/>
              </w:rPr>
              <w:tab/>
            </w:r>
            <w:r w:rsidR="005A773C" w:rsidRPr="00CB1763">
              <w:rPr>
                <w:rStyle w:val="Hyperlink"/>
                <w:noProof/>
                <w:lang w:val="fr-CA"/>
              </w:rPr>
              <w:t>L</w:t>
            </w:r>
            <w:r w:rsidR="00C11769" w:rsidRPr="00CB1763">
              <w:rPr>
                <w:rStyle w:val="Hyperlink"/>
                <w:noProof/>
                <w:lang w:val="fr-CA"/>
              </w:rPr>
              <w:t>e</w:t>
            </w:r>
            <w:r w:rsidR="005A773C" w:rsidRPr="00CB1763">
              <w:rPr>
                <w:rStyle w:val="Hyperlink"/>
                <w:noProof/>
                <w:lang w:val="fr-CA"/>
              </w:rPr>
              <w:t xml:space="preserve"> code de c</w:t>
            </w:r>
            <w:r w:rsidR="00C11769" w:rsidRPr="00CB1763">
              <w:rPr>
                <w:rStyle w:val="Hyperlink"/>
                <w:noProof/>
                <w:lang w:val="fr-CA"/>
              </w:rPr>
              <w:t>lassification</w:t>
            </w:r>
            <w:r w:rsidR="005A773C" w:rsidRPr="00CB1763">
              <w:rPr>
                <w:rStyle w:val="Hyperlink"/>
                <w:noProof/>
                <w:lang w:val="fr-CA"/>
              </w:rPr>
              <w:t xml:space="preserve"> du CIP</w:t>
            </w:r>
            <w:r w:rsidR="00C11769" w:rsidRPr="00CB1763">
              <w:rPr>
                <w:noProof/>
                <w:webHidden/>
                <w:lang w:val="fr-CA"/>
              </w:rPr>
              <w:tab/>
            </w:r>
            <w:r w:rsidRPr="00CB1763">
              <w:rPr>
                <w:noProof/>
                <w:webHidden/>
                <w:lang w:val="fr-CA"/>
              </w:rPr>
              <w:fldChar w:fldCharType="begin"/>
            </w:r>
            <w:r w:rsidR="00C11769" w:rsidRPr="00CB1763">
              <w:rPr>
                <w:noProof/>
                <w:webHidden/>
                <w:lang w:val="fr-CA"/>
              </w:rPr>
              <w:instrText xml:space="preserve"> PAGEREF _Toc368318333 \h </w:instrText>
            </w:r>
            <w:r w:rsidRPr="00CB1763">
              <w:rPr>
                <w:noProof/>
                <w:webHidden/>
                <w:lang w:val="fr-CA"/>
              </w:rPr>
            </w:r>
            <w:r w:rsidRPr="00CB1763">
              <w:rPr>
                <w:noProof/>
                <w:webHidden/>
                <w:lang w:val="fr-CA"/>
              </w:rPr>
              <w:fldChar w:fldCharType="separate"/>
            </w:r>
            <w:r w:rsidR="00293C96" w:rsidRPr="00CB1763">
              <w:rPr>
                <w:noProof/>
                <w:webHidden/>
                <w:lang w:val="fr-CA"/>
              </w:rPr>
              <w:t>4</w:t>
            </w:r>
            <w:r w:rsidRPr="00CB1763">
              <w:rPr>
                <w:noProof/>
                <w:webHidden/>
                <w:lang w:val="fr-CA"/>
              </w:rPr>
              <w:fldChar w:fldCharType="end"/>
            </w:r>
          </w:hyperlink>
        </w:p>
        <w:p w:rsidR="00C11769" w:rsidRPr="00CB1763" w:rsidRDefault="00487409">
          <w:pPr>
            <w:pStyle w:val="TOC2"/>
            <w:tabs>
              <w:tab w:val="left" w:pos="660"/>
              <w:tab w:val="right" w:leader="dot" w:pos="9350"/>
            </w:tabs>
            <w:rPr>
              <w:rFonts w:eastAsiaTheme="minorEastAsia"/>
              <w:noProof/>
              <w:lang w:val="fr-CA" w:eastAsia="en-CA"/>
            </w:rPr>
          </w:pPr>
          <w:hyperlink w:anchor="_Toc368318334" w:history="1">
            <w:r w:rsidR="00C11769" w:rsidRPr="00CB1763">
              <w:rPr>
                <w:rStyle w:val="Hyperlink"/>
                <w:noProof/>
                <w:lang w:val="fr-CA"/>
              </w:rPr>
              <w:t>A.</w:t>
            </w:r>
            <w:r w:rsidR="00C11769" w:rsidRPr="00CB1763">
              <w:rPr>
                <w:rFonts w:eastAsiaTheme="minorEastAsia"/>
                <w:noProof/>
                <w:lang w:val="fr-CA" w:eastAsia="en-CA"/>
              </w:rPr>
              <w:tab/>
            </w:r>
            <w:r w:rsidR="00C11769" w:rsidRPr="00CB1763">
              <w:rPr>
                <w:rStyle w:val="Hyperlink"/>
                <w:noProof/>
                <w:lang w:val="fr-CA"/>
              </w:rPr>
              <w:t>Classification</w:t>
            </w:r>
            <w:r w:rsidR="005A773C" w:rsidRPr="00CB1763">
              <w:rPr>
                <w:rStyle w:val="Hyperlink"/>
                <w:noProof/>
                <w:lang w:val="fr-CA"/>
              </w:rPr>
              <w:t xml:space="preserve"> internationale et Mouvement paralympique</w:t>
            </w:r>
            <w:r w:rsidR="00540E28" w:rsidRPr="00CB1763">
              <w:rPr>
                <w:rStyle w:val="Hyperlink"/>
                <w:noProof/>
                <w:lang w:val="fr-CA"/>
              </w:rPr>
              <w:t xml:space="preserve"> (</w:t>
            </w:r>
            <w:r w:rsidR="00C11769" w:rsidRPr="00CB1763">
              <w:rPr>
                <w:rStyle w:val="Hyperlink"/>
                <w:noProof/>
                <w:lang w:val="fr-CA"/>
              </w:rPr>
              <w:t>Section 2</w:t>
            </w:r>
            <w:r w:rsidR="00540E28" w:rsidRPr="00CB1763">
              <w:rPr>
                <w:rStyle w:val="Hyperlink"/>
                <w:noProof/>
                <w:lang w:val="fr-CA"/>
              </w:rPr>
              <w:t xml:space="preserve"> du Code</w:t>
            </w:r>
            <w:r w:rsidR="00C11769" w:rsidRPr="00CB1763">
              <w:rPr>
                <w:rStyle w:val="Hyperlink"/>
                <w:noProof/>
                <w:lang w:val="fr-CA"/>
              </w:rPr>
              <w:t>)</w:t>
            </w:r>
            <w:r w:rsidR="00C11769" w:rsidRPr="00CB1763">
              <w:rPr>
                <w:noProof/>
                <w:webHidden/>
                <w:lang w:val="fr-CA"/>
              </w:rPr>
              <w:tab/>
            </w:r>
            <w:r w:rsidRPr="00CB1763">
              <w:rPr>
                <w:noProof/>
                <w:webHidden/>
                <w:lang w:val="fr-CA"/>
              </w:rPr>
              <w:fldChar w:fldCharType="begin"/>
            </w:r>
            <w:r w:rsidR="00C11769" w:rsidRPr="00CB1763">
              <w:rPr>
                <w:noProof/>
                <w:webHidden/>
                <w:lang w:val="fr-CA"/>
              </w:rPr>
              <w:instrText xml:space="preserve"> PAGEREF _Toc368318334 \h </w:instrText>
            </w:r>
            <w:r w:rsidRPr="00CB1763">
              <w:rPr>
                <w:noProof/>
                <w:webHidden/>
                <w:lang w:val="fr-CA"/>
              </w:rPr>
            </w:r>
            <w:r w:rsidRPr="00CB1763">
              <w:rPr>
                <w:noProof/>
                <w:webHidden/>
                <w:lang w:val="fr-CA"/>
              </w:rPr>
              <w:fldChar w:fldCharType="separate"/>
            </w:r>
            <w:r w:rsidR="00293C96" w:rsidRPr="00CB1763">
              <w:rPr>
                <w:noProof/>
                <w:webHidden/>
                <w:lang w:val="fr-CA"/>
              </w:rPr>
              <w:t>4</w:t>
            </w:r>
            <w:r w:rsidRPr="00CB1763">
              <w:rPr>
                <w:noProof/>
                <w:webHidden/>
                <w:lang w:val="fr-CA"/>
              </w:rPr>
              <w:fldChar w:fldCharType="end"/>
            </w:r>
          </w:hyperlink>
        </w:p>
        <w:p w:rsidR="00C11769" w:rsidRPr="00CB1763" w:rsidRDefault="00487409">
          <w:pPr>
            <w:pStyle w:val="TOC2"/>
            <w:tabs>
              <w:tab w:val="left" w:pos="660"/>
              <w:tab w:val="right" w:leader="dot" w:pos="9350"/>
            </w:tabs>
            <w:rPr>
              <w:rFonts w:eastAsiaTheme="minorEastAsia"/>
              <w:noProof/>
              <w:lang w:val="fr-CA" w:eastAsia="en-CA"/>
            </w:rPr>
          </w:pPr>
          <w:hyperlink w:anchor="_Toc368318335" w:history="1">
            <w:r w:rsidR="00C11769" w:rsidRPr="00CB1763">
              <w:rPr>
                <w:rStyle w:val="Hyperlink"/>
                <w:noProof/>
                <w:lang w:val="fr-CA"/>
              </w:rPr>
              <w:t>B.</w:t>
            </w:r>
            <w:r w:rsidR="00C11769" w:rsidRPr="00CB1763">
              <w:rPr>
                <w:rFonts w:eastAsiaTheme="minorEastAsia"/>
                <w:noProof/>
                <w:lang w:val="fr-CA" w:eastAsia="en-CA"/>
              </w:rPr>
              <w:tab/>
            </w:r>
            <w:r w:rsidR="00AA1442" w:rsidRPr="00CB1763">
              <w:rPr>
                <w:rFonts w:eastAsiaTheme="minorEastAsia"/>
                <w:noProof/>
                <w:lang w:val="fr-CA" w:eastAsia="en-CA"/>
              </w:rPr>
              <w:t xml:space="preserve">Liste principale de </w:t>
            </w:r>
            <w:r w:rsidR="00AA1442" w:rsidRPr="00CB1763">
              <w:rPr>
                <w:rStyle w:val="Hyperlink"/>
                <w:noProof/>
                <w:lang w:val="fr-CA"/>
              </w:rPr>
              <w:t>classification</w:t>
            </w:r>
            <w:r w:rsidR="00540E28" w:rsidRPr="00CB1763">
              <w:rPr>
                <w:rStyle w:val="Hyperlink"/>
                <w:noProof/>
                <w:lang w:val="fr-CA"/>
              </w:rPr>
              <w:t xml:space="preserve"> (</w:t>
            </w:r>
            <w:r w:rsidR="00C11769" w:rsidRPr="00CB1763">
              <w:rPr>
                <w:rStyle w:val="Hyperlink"/>
                <w:noProof/>
                <w:lang w:val="fr-CA"/>
              </w:rPr>
              <w:t>Section 2.6</w:t>
            </w:r>
            <w:r w:rsidR="00540E28" w:rsidRPr="00CB1763">
              <w:rPr>
                <w:rStyle w:val="Hyperlink"/>
                <w:noProof/>
                <w:lang w:val="fr-CA"/>
              </w:rPr>
              <w:t xml:space="preserve"> du Code</w:t>
            </w:r>
            <w:r w:rsidR="00C11769" w:rsidRPr="00CB1763">
              <w:rPr>
                <w:rStyle w:val="Hyperlink"/>
                <w:noProof/>
                <w:lang w:val="fr-CA"/>
              </w:rPr>
              <w:t>)</w:t>
            </w:r>
            <w:r w:rsidR="00C11769" w:rsidRPr="00CB1763">
              <w:rPr>
                <w:noProof/>
                <w:webHidden/>
                <w:lang w:val="fr-CA"/>
              </w:rPr>
              <w:tab/>
            </w:r>
            <w:r w:rsidRPr="00CB1763">
              <w:rPr>
                <w:noProof/>
                <w:webHidden/>
                <w:lang w:val="fr-CA"/>
              </w:rPr>
              <w:fldChar w:fldCharType="begin"/>
            </w:r>
            <w:r w:rsidR="00C11769" w:rsidRPr="00CB1763">
              <w:rPr>
                <w:noProof/>
                <w:webHidden/>
                <w:lang w:val="fr-CA"/>
              </w:rPr>
              <w:instrText xml:space="preserve"> PAGEREF _Toc368318335 \h </w:instrText>
            </w:r>
            <w:r w:rsidRPr="00CB1763">
              <w:rPr>
                <w:noProof/>
                <w:webHidden/>
                <w:lang w:val="fr-CA"/>
              </w:rPr>
            </w:r>
            <w:r w:rsidRPr="00CB1763">
              <w:rPr>
                <w:noProof/>
                <w:webHidden/>
                <w:lang w:val="fr-CA"/>
              </w:rPr>
              <w:fldChar w:fldCharType="separate"/>
            </w:r>
            <w:r w:rsidR="00293C96" w:rsidRPr="00CB1763">
              <w:rPr>
                <w:noProof/>
                <w:webHidden/>
                <w:lang w:val="fr-CA"/>
              </w:rPr>
              <w:t>9</w:t>
            </w:r>
            <w:r w:rsidRPr="00CB1763">
              <w:rPr>
                <w:noProof/>
                <w:webHidden/>
                <w:lang w:val="fr-CA"/>
              </w:rPr>
              <w:fldChar w:fldCharType="end"/>
            </w:r>
          </w:hyperlink>
        </w:p>
        <w:p w:rsidR="00C11769" w:rsidRPr="00CB1763" w:rsidRDefault="00487409">
          <w:pPr>
            <w:pStyle w:val="TOC2"/>
            <w:tabs>
              <w:tab w:val="left" w:pos="660"/>
              <w:tab w:val="right" w:leader="dot" w:pos="9350"/>
            </w:tabs>
            <w:rPr>
              <w:rFonts w:eastAsiaTheme="minorEastAsia"/>
              <w:noProof/>
              <w:lang w:val="fr-CA" w:eastAsia="en-CA"/>
            </w:rPr>
          </w:pPr>
          <w:hyperlink w:anchor="_Toc368318336" w:history="1">
            <w:r w:rsidR="00C11769" w:rsidRPr="00CB1763">
              <w:rPr>
                <w:rStyle w:val="Hyperlink"/>
                <w:noProof/>
                <w:lang w:val="fr-CA"/>
              </w:rPr>
              <w:t>C.</w:t>
            </w:r>
            <w:r w:rsidR="00C11769" w:rsidRPr="00CB1763">
              <w:rPr>
                <w:rFonts w:eastAsiaTheme="minorEastAsia"/>
                <w:noProof/>
                <w:lang w:val="fr-CA" w:eastAsia="en-CA"/>
              </w:rPr>
              <w:tab/>
            </w:r>
            <w:r w:rsidR="00AA1442" w:rsidRPr="00CB1763">
              <w:rPr>
                <w:rFonts w:eastAsiaTheme="minorEastAsia"/>
                <w:noProof/>
                <w:lang w:val="fr-CA" w:eastAsia="en-CA"/>
              </w:rPr>
              <w:t>Fonctions des responsables de la classification</w:t>
            </w:r>
            <w:r w:rsidR="00540E28" w:rsidRPr="00CB1763">
              <w:rPr>
                <w:rStyle w:val="Hyperlink"/>
                <w:noProof/>
                <w:lang w:val="fr-CA"/>
              </w:rPr>
              <w:t xml:space="preserve"> (</w:t>
            </w:r>
            <w:r w:rsidR="00C11769" w:rsidRPr="00CB1763">
              <w:rPr>
                <w:rStyle w:val="Hyperlink"/>
                <w:noProof/>
                <w:lang w:val="fr-CA"/>
              </w:rPr>
              <w:t>Section 3</w:t>
            </w:r>
            <w:r w:rsidR="00540E28" w:rsidRPr="00CB1763">
              <w:rPr>
                <w:rStyle w:val="Hyperlink"/>
                <w:noProof/>
                <w:lang w:val="fr-CA"/>
              </w:rPr>
              <w:t xml:space="preserve"> du Code</w:t>
            </w:r>
            <w:r w:rsidR="00C11769" w:rsidRPr="00CB1763">
              <w:rPr>
                <w:rStyle w:val="Hyperlink"/>
                <w:noProof/>
                <w:lang w:val="fr-CA"/>
              </w:rPr>
              <w:t>)</w:t>
            </w:r>
            <w:r w:rsidR="00C11769" w:rsidRPr="00CB1763">
              <w:rPr>
                <w:noProof/>
                <w:webHidden/>
                <w:lang w:val="fr-CA"/>
              </w:rPr>
              <w:tab/>
            </w:r>
          </w:hyperlink>
          <w:r w:rsidR="000B5A69">
            <w:rPr>
              <w:noProof/>
              <w:lang w:val="fr-CA"/>
            </w:rPr>
            <w:t>10</w:t>
          </w:r>
        </w:p>
        <w:p w:rsidR="00C11769" w:rsidRPr="00CB1763" w:rsidRDefault="00487409">
          <w:pPr>
            <w:pStyle w:val="TOC2"/>
            <w:tabs>
              <w:tab w:val="left" w:pos="660"/>
              <w:tab w:val="right" w:leader="dot" w:pos="9350"/>
            </w:tabs>
            <w:rPr>
              <w:rFonts w:eastAsiaTheme="minorEastAsia"/>
              <w:noProof/>
              <w:lang w:val="fr-CA" w:eastAsia="en-CA"/>
            </w:rPr>
          </w:pPr>
          <w:hyperlink w:anchor="_Toc368318337" w:history="1">
            <w:r w:rsidR="00C11769" w:rsidRPr="00CB1763">
              <w:rPr>
                <w:rStyle w:val="Hyperlink"/>
                <w:noProof/>
                <w:lang w:val="fr-CA"/>
              </w:rPr>
              <w:t>D.</w:t>
            </w:r>
            <w:r w:rsidR="00C11769" w:rsidRPr="00CB1763">
              <w:rPr>
                <w:rFonts w:eastAsiaTheme="minorEastAsia"/>
                <w:noProof/>
                <w:lang w:val="fr-CA" w:eastAsia="en-CA"/>
              </w:rPr>
              <w:tab/>
            </w:r>
            <w:r w:rsidR="00540E28" w:rsidRPr="00CB1763">
              <w:rPr>
                <w:rFonts w:eastAsiaTheme="minorEastAsia"/>
                <w:noProof/>
                <w:lang w:val="fr-CA" w:eastAsia="en-CA"/>
              </w:rPr>
              <w:t xml:space="preserve">Changements aux catégories de </w:t>
            </w:r>
            <w:r w:rsidR="00540E28" w:rsidRPr="00CB1763">
              <w:rPr>
                <w:rStyle w:val="Hyperlink"/>
                <w:noProof/>
                <w:lang w:val="fr-CA"/>
              </w:rPr>
              <w:t>sport (</w:t>
            </w:r>
            <w:r w:rsidR="00C11769" w:rsidRPr="00CB1763">
              <w:rPr>
                <w:rStyle w:val="Hyperlink"/>
                <w:noProof/>
                <w:lang w:val="fr-CA"/>
              </w:rPr>
              <w:t>Section 6.4</w:t>
            </w:r>
            <w:r w:rsidR="00540E28" w:rsidRPr="00CB1763">
              <w:rPr>
                <w:rStyle w:val="Hyperlink"/>
                <w:noProof/>
                <w:lang w:val="fr-CA"/>
              </w:rPr>
              <w:t xml:space="preserve"> du Code</w:t>
            </w:r>
            <w:r w:rsidR="00C11769" w:rsidRPr="00CB1763">
              <w:rPr>
                <w:rStyle w:val="Hyperlink"/>
                <w:noProof/>
                <w:lang w:val="fr-CA"/>
              </w:rPr>
              <w:t>)</w:t>
            </w:r>
            <w:r w:rsidR="00C11769" w:rsidRPr="00CB1763">
              <w:rPr>
                <w:noProof/>
                <w:webHidden/>
                <w:lang w:val="fr-CA"/>
              </w:rPr>
              <w:tab/>
            </w:r>
            <w:r w:rsidRPr="00CB1763">
              <w:rPr>
                <w:noProof/>
                <w:webHidden/>
                <w:lang w:val="fr-CA"/>
              </w:rPr>
              <w:fldChar w:fldCharType="begin"/>
            </w:r>
            <w:r w:rsidR="00C11769" w:rsidRPr="00CB1763">
              <w:rPr>
                <w:noProof/>
                <w:webHidden/>
                <w:lang w:val="fr-CA"/>
              </w:rPr>
              <w:instrText xml:space="preserve"> PAGEREF _Toc368318337 \h </w:instrText>
            </w:r>
            <w:r w:rsidRPr="00CB1763">
              <w:rPr>
                <w:noProof/>
                <w:webHidden/>
                <w:lang w:val="fr-CA"/>
              </w:rPr>
            </w:r>
            <w:r w:rsidRPr="00CB1763">
              <w:rPr>
                <w:noProof/>
                <w:webHidden/>
                <w:lang w:val="fr-CA"/>
              </w:rPr>
              <w:fldChar w:fldCharType="separate"/>
            </w:r>
            <w:r w:rsidR="00293C96" w:rsidRPr="00CB1763">
              <w:rPr>
                <w:noProof/>
                <w:webHidden/>
                <w:lang w:val="fr-CA"/>
              </w:rPr>
              <w:t>1</w:t>
            </w:r>
            <w:r w:rsidRPr="00CB1763">
              <w:rPr>
                <w:noProof/>
                <w:webHidden/>
                <w:lang w:val="fr-CA"/>
              </w:rPr>
              <w:fldChar w:fldCharType="end"/>
            </w:r>
          </w:hyperlink>
          <w:r w:rsidR="000B5A69">
            <w:rPr>
              <w:noProof/>
              <w:lang w:val="fr-CA"/>
            </w:rPr>
            <w:t>1</w:t>
          </w:r>
        </w:p>
        <w:p w:rsidR="00C11769" w:rsidRPr="00CB1763" w:rsidRDefault="00487409">
          <w:pPr>
            <w:pStyle w:val="TOC2"/>
            <w:tabs>
              <w:tab w:val="left" w:pos="660"/>
              <w:tab w:val="right" w:leader="dot" w:pos="9350"/>
            </w:tabs>
            <w:rPr>
              <w:rFonts w:eastAsiaTheme="minorEastAsia"/>
              <w:noProof/>
              <w:lang w:val="fr-CA" w:eastAsia="en-CA"/>
            </w:rPr>
          </w:pPr>
          <w:hyperlink w:anchor="_Toc368318338" w:history="1">
            <w:r w:rsidR="00C11769" w:rsidRPr="00CB1763">
              <w:rPr>
                <w:rStyle w:val="Hyperlink"/>
                <w:noProof/>
                <w:lang w:val="fr-CA"/>
              </w:rPr>
              <w:t>E.</w:t>
            </w:r>
            <w:r w:rsidR="00C11769" w:rsidRPr="00CB1763">
              <w:rPr>
                <w:rFonts w:eastAsiaTheme="minorEastAsia"/>
                <w:noProof/>
                <w:lang w:val="fr-CA" w:eastAsia="en-CA"/>
              </w:rPr>
              <w:tab/>
            </w:r>
            <w:r w:rsidR="00540E28" w:rsidRPr="00CB1763">
              <w:rPr>
                <w:rStyle w:val="Hyperlink"/>
                <w:noProof/>
                <w:lang w:val="fr-CA"/>
              </w:rPr>
              <w:t>Protêts</w:t>
            </w:r>
            <w:r w:rsidR="00C11769" w:rsidRPr="00CB1763">
              <w:rPr>
                <w:rStyle w:val="Hyperlink"/>
                <w:noProof/>
                <w:lang w:val="fr-CA"/>
              </w:rPr>
              <w:t xml:space="preserve"> </w:t>
            </w:r>
            <w:r w:rsidR="00540E28" w:rsidRPr="00CB1763">
              <w:rPr>
                <w:rStyle w:val="Hyperlink"/>
                <w:noProof/>
                <w:lang w:val="fr-CA"/>
              </w:rPr>
              <w:t>et appels (</w:t>
            </w:r>
            <w:r w:rsidR="00C11769" w:rsidRPr="00CB1763">
              <w:rPr>
                <w:rStyle w:val="Hyperlink"/>
                <w:noProof/>
                <w:lang w:val="fr-CA"/>
              </w:rPr>
              <w:t>Section 8</w:t>
            </w:r>
            <w:r w:rsidR="00540E28" w:rsidRPr="00CB1763">
              <w:rPr>
                <w:rStyle w:val="Hyperlink"/>
                <w:noProof/>
                <w:lang w:val="fr-CA"/>
              </w:rPr>
              <w:t xml:space="preserve"> du Code</w:t>
            </w:r>
            <w:r w:rsidR="00C11769" w:rsidRPr="00CB1763">
              <w:rPr>
                <w:rStyle w:val="Hyperlink"/>
                <w:noProof/>
                <w:lang w:val="fr-CA"/>
              </w:rPr>
              <w:t>)</w:t>
            </w:r>
            <w:r w:rsidR="00C11769" w:rsidRPr="00CB1763">
              <w:rPr>
                <w:noProof/>
                <w:webHidden/>
                <w:lang w:val="fr-CA"/>
              </w:rPr>
              <w:tab/>
            </w:r>
            <w:r w:rsidRPr="00CB1763">
              <w:rPr>
                <w:noProof/>
                <w:webHidden/>
                <w:lang w:val="fr-CA"/>
              </w:rPr>
              <w:fldChar w:fldCharType="begin"/>
            </w:r>
            <w:r w:rsidR="00C11769" w:rsidRPr="00CB1763">
              <w:rPr>
                <w:noProof/>
                <w:webHidden/>
                <w:lang w:val="fr-CA"/>
              </w:rPr>
              <w:instrText xml:space="preserve"> PAGEREF _Toc368318338 \h </w:instrText>
            </w:r>
            <w:r w:rsidRPr="00CB1763">
              <w:rPr>
                <w:noProof/>
                <w:webHidden/>
                <w:lang w:val="fr-CA"/>
              </w:rPr>
            </w:r>
            <w:r w:rsidRPr="00CB1763">
              <w:rPr>
                <w:noProof/>
                <w:webHidden/>
                <w:lang w:val="fr-CA"/>
              </w:rPr>
              <w:fldChar w:fldCharType="separate"/>
            </w:r>
            <w:r w:rsidR="00293C96" w:rsidRPr="00CB1763">
              <w:rPr>
                <w:noProof/>
                <w:webHidden/>
                <w:lang w:val="fr-CA"/>
              </w:rPr>
              <w:t>1</w:t>
            </w:r>
            <w:r w:rsidRPr="00CB1763">
              <w:rPr>
                <w:noProof/>
                <w:webHidden/>
                <w:lang w:val="fr-CA"/>
              </w:rPr>
              <w:fldChar w:fldCharType="end"/>
            </w:r>
          </w:hyperlink>
          <w:r w:rsidR="000B5A69">
            <w:rPr>
              <w:noProof/>
              <w:lang w:val="fr-CA"/>
            </w:rPr>
            <w:t>2</w:t>
          </w:r>
        </w:p>
        <w:p w:rsidR="00C11769" w:rsidRPr="00CB1763" w:rsidRDefault="00487409">
          <w:pPr>
            <w:pStyle w:val="TOC2"/>
            <w:tabs>
              <w:tab w:val="left" w:pos="660"/>
              <w:tab w:val="right" w:leader="dot" w:pos="9350"/>
            </w:tabs>
            <w:rPr>
              <w:rFonts w:eastAsiaTheme="minorEastAsia"/>
              <w:noProof/>
              <w:lang w:val="fr-CA" w:eastAsia="en-CA"/>
            </w:rPr>
          </w:pPr>
          <w:hyperlink w:anchor="_Toc368318339" w:history="1">
            <w:r w:rsidR="00C11769" w:rsidRPr="00CB1763">
              <w:rPr>
                <w:rStyle w:val="Hyperlink"/>
                <w:noProof/>
                <w:lang w:val="fr-CA"/>
              </w:rPr>
              <w:t>F.</w:t>
            </w:r>
            <w:r w:rsidR="00C11769" w:rsidRPr="00CB1763">
              <w:rPr>
                <w:rFonts w:eastAsiaTheme="minorEastAsia"/>
                <w:noProof/>
                <w:lang w:val="fr-CA" w:eastAsia="en-CA"/>
              </w:rPr>
              <w:tab/>
            </w:r>
            <w:r w:rsidR="00540E28" w:rsidRPr="00CB1763">
              <w:rPr>
                <w:rFonts w:eastAsiaTheme="minorEastAsia"/>
                <w:noProof/>
                <w:lang w:val="fr-CA" w:eastAsia="en-CA"/>
              </w:rPr>
              <w:t>Défaut de se présenter à une</w:t>
            </w:r>
            <w:r w:rsidR="00540E28" w:rsidRPr="00CB1763">
              <w:rPr>
                <w:rStyle w:val="Hyperlink"/>
                <w:noProof/>
                <w:lang w:val="fr-CA"/>
              </w:rPr>
              <w:t xml:space="preserve"> évaluation (Sections 9.2 et</w:t>
            </w:r>
            <w:r w:rsidR="00C11769" w:rsidRPr="00CB1763">
              <w:rPr>
                <w:rStyle w:val="Hyperlink"/>
                <w:noProof/>
                <w:lang w:val="fr-CA"/>
              </w:rPr>
              <w:t xml:space="preserve"> 9.3</w:t>
            </w:r>
            <w:r w:rsidR="00540E28" w:rsidRPr="00CB1763">
              <w:rPr>
                <w:rStyle w:val="Hyperlink"/>
                <w:noProof/>
                <w:lang w:val="fr-CA"/>
              </w:rPr>
              <w:t xml:space="preserve"> du Code</w:t>
            </w:r>
            <w:r w:rsidR="00C11769" w:rsidRPr="00CB1763">
              <w:rPr>
                <w:rStyle w:val="Hyperlink"/>
                <w:noProof/>
                <w:lang w:val="fr-CA"/>
              </w:rPr>
              <w:t>)</w:t>
            </w:r>
            <w:r w:rsidR="00C11769" w:rsidRPr="00CB1763">
              <w:rPr>
                <w:noProof/>
                <w:webHidden/>
                <w:lang w:val="fr-CA"/>
              </w:rPr>
              <w:tab/>
            </w:r>
            <w:r w:rsidRPr="00CB1763">
              <w:rPr>
                <w:noProof/>
                <w:webHidden/>
                <w:lang w:val="fr-CA"/>
              </w:rPr>
              <w:fldChar w:fldCharType="begin"/>
            </w:r>
            <w:r w:rsidR="00C11769" w:rsidRPr="00CB1763">
              <w:rPr>
                <w:noProof/>
                <w:webHidden/>
                <w:lang w:val="fr-CA"/>
              </w:rPr>
              <w:instrText xml:space="preserve"> PAGEREF _Toc368318339 \h </w:instrText>
            </w:r>
            <w:r w:rsidRPr="00CB1763">
              <w:rPr>
                <w:noProof/>
                <w:webHidden/>
                <w:lang w:val="fr-CA"/>
              </w:rPr>
            </w:r>
            <w:r w:rsidRPr="00CB1763">
              <w:rPr>
                <w:noProof/>
                <w:webHidden/>
                <w:lang w:val="fr-CA"/>
              </w:rPr>
              <w:fldChar w:fldCharType="separate"/>
            </w:r>
            <w:r w:rsidR="00293C96" w:rsidRPr="00CB1763">
              <w:rPr>
                <w:noProof/>
                <w:webHidden/>
                <w:lang w:val="fr-CA"/>
              </w:rPr>
              <w:t>1</w:t>
            </w:r>
            <w:r w:rsidRPr="00CB1763">
              <w:rPr>
                <w:noProof/>
                <w:webHidden/>
                <w:lang w:val="fr-CA"/>
              </w:rPr>
              <w:fldChar w:fldCharType="end"/>
            </w:r>
          </w:hyperlink>
          <w:r w:rsidR="007A5DFE">
            <w:rPr>
              <w:noProof/>
              <w:lang w:val="fr-CA"/>
            </w:rPr>
            <w:t>3</w:t>
          </w:r>
        </w:p>
        <w:p w:rsidR="00C11769" w:rsidRPr="00CB1763" w:rsidRDefault="00487409">
          <w:pPr>
            <w:pStyle w:val="TOC2"/>
            <w:tabs>
              <w:tab w:val="left" w:pos="660"/>
              <w:tab w:val="right" w:leader="dot" w:pos="9350"/>
            </w:tabs>
            <w:rPr>
              <w:rFonts w:eastAsiaTheme="minorEastAsia"/>
              <w:noProof/>
              <w:lang w:val="fr-CA" w:eastAsia="en-CA"/>
            </w:rPr>
          </w:pPr>
          <w:hyperlink w:anchor="_Toc368318340" w:history="1">
            <w:r w:rsidR="00C11769" w:rsidRPr="00CB1763">
              <w:rPr>
                <w:rStyle w:val="Hyperlink"/>
                <w:noProof/>
                <w:lang w:val="fr-CA"/>
              </w:rPr>
              <w:t>G.</w:t>
            </w:r>
            <w:r w:rsidR="00C11769" w:rsidRPr="00CB1763">
              <w:rPr>
                <w:rFonts w:eastAsiaTheme="minorEastAsia"/>
                <w:noProof/>
                <w:lang w:val="fr-CA" w:eastAsia="en-CA"/>
              </w:rPr>
              <w:tab/>
            </w:r>
            <w:r w:rsidR="00540E28" w:rsidRPr="00CB1763">
              <w:rPr>
                <w:rFonts w:eastAsiaTheme="minorEastAsia"/>
                <w:noProof/>
                <w:lang w:val="fr-CA" w:eastAsia="en-CA"/>
              </w:rPr>
              <w:t>Absence de coopération</w:t>
            </w:r>
            <w:r w:rsidR="00540E28" w:rsidRPr="00CB1763">
              <w:rPr>
                <w:rStyle w:val="Hyperlink"/>
                <w:noProof/>
                <w:lang w:val="fr-CA"/>
              </w:rPr>
              <w:t xml:space="preserve"> (</w:t>
            </w:r>
            <w:r w:rsidR="00C11769" w:rsidRPr="00CB1763">
              <w:rPr>
                <w:rStyle w:val="Hyperlink"/>
                <w:noProof/>
                <w:lang w:val="fr-CA"/>
              </w:rPr>
              <w:t>Section 10</w:t>
            </w:r>
            <w:r w:rsidR="00540E28" w:rsidRPr="00CB1763">
              <w:rPr>
                <w:rStyle w:val="Hyperlink"/>
                <w:noProof/>
                <w:lang w:val="fr-CA"/>
              </w:rPr>
              <w:t xml:space="preserve"> du Code</w:t>
            </w:r>
            <w:r w:rsidR="00C11769" w:rsidRPr="00CB1763">
              <w:rPr>
                <w:rStyle w:val="Hyperlink"/>
                <w:noProof/>
                <w:lang w:val="fr-CA"/>
              </w:rPr>
              <w:t>)</w:t>
            </w:r>
            <w:r w:rsidR="00C11769" w:rsidRPr="00CB1763">
              <w:rPr>
                <w:noProof/>
                <w:webHidden/>
                <w:lang w:val="fr-CA"/>
              </w:rPr>
              <w:tab/>
            </w:r>
            <w:r w:rsidRPr="00CB1763">
              <w:rPr>
                <w:noProof/>
                <w:webHidden/>
                <w:lang w:val="fr-CA"/>
              </w:rPr>
              <w:fldChar w:fldCharType="begin"/>
            </w:r>
            <w:r w:rsidR="00C11769" w:rsidRPr="00CB1763">
              <w:rPr>
                <w:noProof/>
                <w:webHidden/>
                <w:lang w:val="fr-CA"/>
              </w:rPr>
              <w:instrText xml:space="preserve"> PAGEREF _Toc368318340 \h </w:instrText>
            </w:r>
            <w:r w:rsidRPr="00CB1763">
              <w:rPr>
                <w:noProof/>
                <w:webHidden/>
                <w:lang w:val="fr-CA"/>
              </w:rPr>
            </w:r>
            <w:r w:rsidRPr="00CB1763">
              <w:rPr>
                <w:noProof/>
                <w:webHidden/>
                <w:lang w:val="fr-CA"/>
              </w:rPr>
              <w:fldChar w:fldCharType="separate"/>
            </w:r>
            <w:r w:rsidR="00293C96" w:rsidRPr="00CB1763">
              <w:rPr>
                <w:noProof/>
                <w:webHidden/>
                <w:lang w:val="fr-CA"/>
              </w:rPr>
              <w:t>1</w:t>
            </w:r>
            <w:r w:rsidRPr="00CB1763">
              <w:rPr>
                <w:noProof/>
                <w:webHidden/>
                <w:lang w:val="fr-CA"/>
              </w:rPr>
              <w:fldChar w:fldCharType="end"/>
            </w:r>
          </w:hyperlink>
          <w:r w:rsidR="007A5DFE">
            <w:rPr>
              <w:noProof/>
              <w:lang w:val="fr-CA"/>
            </w:rPr>
            <w:t>3</w:t>
          </w:r>
        </w:p>
        <w:p w:rsidR="00C11769" w:rsidRPr="00CB1763" w:rsidRDefault="00487409">
          <w:pPr>
            <w:pStyle w:val="TOC2"/>
            <w:tabs>
              <w:tab w:val="left" w:pos="660"/>
              <w:tab w:val="right" w:leader="dot" w:pos="9350"/>
            </w:tabs>
            <w:rPr>
              <w:rFonts w:eastAsiaTheme="minorEastAsia"/>
              <w:noProof/>
              <w:lang w:val="fr-CA" w:eastAsia="en-CA"/>
            </w:rPr>
          </w:pPr>
          <w:hyperlink w:anchor="_Toc368318341" w:history="1">
            <w:r w:rsidR="00C11769" w:rsidRPr="00CB1763">
              <w:rPr>
                <w:rStyle w:val="Hyperlink"/>
                <w:noProof/>
                <w:lang w:val="fr-CA"/>
              </w:rPr>
              <w:t>H.</w:t>
            </w:r>
            <w:r w:rsidR="00C11769" w:rsidRPr="00CB1763">
              <w:rPr>
                <w:rFonts w:eastAsiaTheme="minorEastAsia"/>
                <w:noProof/>
                <w:lang w:val="fr-CA" w:eastAsia="en-CA"/>
              </w:rPr>
              <w:tab/>
            </w:r>
            <w:r w:rsidR="00540E28" w:rsidRPr="00CB1763">
              <w:rPr>
                <w:rFonts w:eastAsiaTheme="minorEastAsia"/>
                <w:noProof/>
                <w:lang w:val="fr-CA" w:eastAsia="en-CA"/>
              </w:rPr>
              <w:t>Fau</w:t>
            </w:r>
            <w:r w:rsidR="00C4332F" w:rsidRPr="00CB1763">
              <w:rPr>
                <w:rFonts w:eastAsiaTheme="minorEastAsia"/>
                <w:noProof/>
                <w:lang w:val="fr-CA" w:eastAsia="en-CA"/>
              </w:rPr>
              <w:t>sse déclaration sciemment faite</w:t>
            </w:r>
            <w:r w:rsidR="00C11769" w:rsidRPr="00CB1763">
              <w:rPr>
                <w:rStyle w:val="Hyperlink"/>
                <w:noProof/>
                <w:lang w:val="fr-CA"/>
              </w:rPr>
              <w:t xml:space="preserve"> </w:t>
            </w:r>
            <w:r w:rsidR="00C4332F" w:rsidRPr="00CB1763">
              <w:rPr>
                <w:rStyle w:val="Hyperlink"/>
                <w:noProof/>
                <w:lang w:val="fr-CA"/>
              </w:rPr>
              <w:t>sur les compétences et/ou les habiletés (S</w:t>
            </w:r>
            <w:r w:rsidR="00C11769" w:rsidRPr="00CB1763">
              <w:rPr>
                <w:rStyle w:val="Hyperlink"/>
                <w:noProof/>
                <w:lang w:val="fr-CA"/>
              </w:rPr>
              <w:t>ection 11</w:t>
            </w:r>
            <w:r w:rsidR="00C4332F" w:rsidRPr="00CB1763">
              <w:rPr>
                <w:rStyle w:val="Hyperlink"/>
                <w:noProof/>
                <w:lang w:val="fr-CA"/>
              </w:rPr>
              <w:t xml:space="preserve"> du Code</w:t>
            </w:r>
            <w:r w:rsidR="00C11769" w:rsidRPr="00CB1763">
              <w:rPr>
                <w:rStyle w:val="Hyperlink"/>
                <w:noProof/>
                <w:lang w:val="fr-CA"/>
              </w:rPr>
              <w:t>)</w:t>
            </w:r>
            <w:r w:rsidR="00C11769" w:rsidRPr="00CB1763">
              <w:rPr>
                <w:noProof/>
                <w:webHidden/>
                <w:lang w:val="fr-CA"/>
              </w:rPr>
              <w:tab/>
            </w:r>
            <w:r w:rsidR="00C4332F" w:rsidRPr="00CB1763">
              <w:rPr>
                <w:noProof/>
                <w:webHidden/>
                <w:lang w:val="fr-CA"/>
              </w:rPr>
              <w:tab/>
            </w:r>
            <w:r w:rsidR="00C4332F" w:rsidRPr="00CB1763">
              <w:rPr>
                <w:noProof/>
                <w:webHidden/>
                <w:lang w:val="fr-CA"/>
              </w:rPr>
              <w:tab/>
            </w:r>
            <w:r w:rsidR="00C4332F" w:rsidRPr="00CB1763">
              <w:rPr>
                <w:noProof/>
                <w:webHidden/>
                <w:lang w:val="fr-CA"/>
              </w:rPr>
              <w:tab/>
            </w:r>
            <w:r w:rsidRPr="00CB1763">
              <w:rPr>
                <w:noProof/>
                <w:webHidden/>
                <w:lang w:val="fr-CA"/>
              </w:rPr>
              <w:fldChar w:fldCharType="begin"/>
            </w:r>
            <w:r w:rsidR="00C11769" w:rsidRPr="00CB1763">
              <w:rPr>
                <w:noProof/>
                <w:webHidden/>
                <w:lang w:val="fr-CA"/>
              </w:rPr>
              <w:instrText xml:space="preserve"> PAGEREF _Toc368318341 \h </w:instrText>
            </w:r>
            <w:r w:rsidRPr="00CB1763">
              <w:rPr>
                <w:noProof/>
                <w:webHidden/>
                <w:lang w:val="fr-CA"/>
              </w:rPr>
            </w:r>
            <w:r w:rsidRPr="00CB1763">
              <w:rPr>
                <w:noProof/>
                <w:webHidden/>
                <w:lang w:val="fr-CA"/>
              </w:rPr>
              <w:fldChar w:fldCharType="separate"/>
            </w:r>
            <w:r w:rsidR="00293C96" w:rsidRPr="00CB1763">
              <w:rPr>
                <w:noProof/>
                <w:webHidden/>
                <w:lang w:val="fr-CA"/>
              </w:rPr>
              <w:t>1</w:t>
            </w:r>
            <w:r w:rsidRPr="00CB1763">
              <w:rPr>
                <w:noProof/>
                <w:webHidden/>
                <w:lang w:val="fr-CA"/>
              </w:rPr>
              <w:fldChar w:fldCharType="end"/>
            </w:r>
          </w:hyperlink>
          <w:r w:rsidR="007A5DFE">
            <w:rPr>
              <w:noProof/>
              <w:lang w:val="fr-CA"/>
            </w:rPr>
            <w:t>5</w:t>
          </w:r>
        </w:p>
        <w:p w:rsidR="00C11769" w:rsidRPr="00CB1763" w:rsidRDefault="00487409">
          <w:pPr>
            <w:pStyle w:val="TOC2"/>
            <w:tabs>
              <w:tab w:val="left" w:pos="660"/>
              <w:tab w:val="right" w:leader="dot" w:pos="9350"/>
            </w:tabs>
            <w:rPr>
              <w:rFonts w:eastAsiaTheme="minorEastAsia"/>
              <w:noProof/>
              <w:lang w:val="fr-CA" w:eastAsia="en-CA"/>
            </w:rPr>
          </w:pPr>
          <w:hyperlink w:anchor="_Toc368318342" w:history="1">
            <w:r w:rsidR="00C11769" w:rsidRPr="00CB1763">
              <w:rPr>
                <w:rStyle w:val="Hyperlink"/>
                <w:noProof/>
                <w:lang w:val="fr-CA"/>
              </w:rPr>
              <w:t>I.</w:t>
            </w:r>
            <w:r w:rsidR="00C11769" w:rsidRPr="00CB1763">
              <w:rPr>
                <w:rFonts w:eastAsiaTheme="minorEastAsia"/>
                <w:noProof/>
                <w:lang w:val="fr-CA" w:eastAsia="en-CA"/>
              </w:rPr>
              <w:tab/>
            </w:r>
            <w:r w:rsidR="00C11769" w:rsidRPr="00CB1763">
              <w:rPr>
                <w:rStyle w:val="Hyperlink"/>
                <w:noProof/>
                <w:lang w:val="fr-CA"/>
              </w:rPr>
              <w:t>Personnel</w:t>
            </w:r>
            <w:r w:rsidR="008E69F8" w:rsidRPr="00CB1763">
              <w:rPr>
                <w:rStyle w:val="Hyperlink"/>
                <w:noProof/>
                <w:lang w:val="fr-CA"/>
              </w:rPr>
              <w:t xml:space="preserve"> de soutien (</w:t>
            </w:r>
            <w:r w:rsidR="00C11769" w:rsidRPr="00CB1763">
              <w:rPr>
                <w:rStyle w:val="Hyperlink"/>
                <w:noProof/>
                <w:lang w:val="fr-CA"/>
              </w:rPr>
              <w:t>Section 12</w:t>
            </w:r>
            <w:r w:rsidR="008E69F8" w:rsidRPr="00CB1763">
              <w:rPr>
                <w:rStyle w:val="Hyperlink"/>
                <w:noProof/>
                <w:lang w:val="fr-CA"/>
              </w:rPr>
              <w:t xml:space="preserve"> du Code</w:t>
            </w:r>
            <w:r w:rsidR="00C11769" w:rsidRPr="00CB1763">
              <w:rPr>
                <w:rStyle w:val="Hyperlink"/>
                <w:noProof/>
                <w:lang w:val="fr-CA"/>
              </w:rPr>
              <w:t>)</w:t>
            </w:r>
            <w:r w:rsidR="00C11769" w:rsidRPr="00CB1763">
              <w:rPr>
                <w:noProof/>
                <w:webHidden/>
                <w:lang w:val="fr-CA"/>
              </w:rPr>
              <w:tab/>
            </w:r>
            <w:r w:rsidRPr="00CB1763">
              <w:rPr>
                <w:noProof/>
                <w:webHidden/>
                <w:lang w:val="fr-CA"/>
              </w:rPr>
              <w:fldChar w:fldCharType="begin"/>
            </w:r>
            <w:r w:rsidR="00C11769" w:rsidRPr="00CB1763">
              <w:rPr>
                <w:noProof/>
                <w:webHidden/>
                <w:lang w:val="fr-CA"/>
              </w:rPr>
              <w:instrText xml:space="preserve"> PAGEREF _Toc368318342 \h </w:instrText>
            </w:r>
            <w:r w:rsidRPr="00CB1763">
              <w:rPr>
                <w:noProof/>
                <w:webHidden/>
                <w:lang w:val="fr-CA"/>
              </w:rPr>
            </w:r>
            <w:r w:rsidRPr="00CB1763">
              <w:rPr>
                <w:noProof/>
                <w:webHidden/>
                <w:lang w:val="fr-CA"/>
              </w:rPr>
              <w:fldChar w:fldCharType="separate"/>
            </w:r>
            <w:r w:rsidR="00293C96" w:rsidRPr="00CB1763">
              <w:rPr>
                <w:noProof/>
                <w:webHidden/>
                <w:lang w:val="fr-CA"/>
              </w:rPr>
              <w:t>1</w:t>
            </w:r>
            <w:r w:rsidRPr="00CB1763">
              <w:rPr>
                <w:noProof/>
                <w:webHidden/>
                <w:lang w:val="fr-CA"/>
              </w:rPr>
              <w:fldChar w:fldCharType="end"/>
            </w:r>
          </w:hyperlink>
          <w:r w:rsidR="007A5DFE">
            <w:rPr>
              <w:noProof/>
              <w:lang w:val="fr-CA"/>
            </w:rPr>
            <w:t>5</w:t>
          </w:r>
        </w:p>
        <w:p w:rsidR="00C11769" w:rsidRPr="00CB1763" w:rsidRDefault="00487409">
          <w:pPr>
            <w:pStyle w:val="TOC2"/>
            <w:tabs>
              <w:tab w:val="left" w:pos="660"/>
              <w:tab w:val="right" w:leader="dot" w:pos="9350"/>
            </w:tabs>
            <w:rPr>
              <w:rFonts w:eastAsiaTheme="minorEastAsia"/>
              <w:noProof/>
              <w:lang w:val="fr-CA" w:eastAsia="en-CA"/>
            </w:rPr>
          </w:pPr>
          <w:hyperlink w:anchor="_Toc368318343" w:history="1">
            <w:r w:rsidR="00C11769" w:rsidRPr="00CB1763">
              <w:rPr>
                <w:rStyle w:val="Hyperlink"/>
                <w:noProof/>
                <w:lang w:val="fr-CA"/>
              </w:rPr>
              <w:t>J.</w:t>
            </w:r>
            <w:r w:rsidR="00C11769" w:rsidRPr="00CB1763">
              <w:rPr>
                <w:rFonts w:eastAsiaTheme="minorEastAsia"/>
                <w:noProof/>
                <w:lang w:val="fr-CA" w:eastAsia="en-CA"/>
              </w:rPr>
              <w:tab/>
            </w:r>
            <w:r w:rsidR="008E69F8" w:rsidRPr="00CB1763">
              <w:rPr>
                <w:rFonts w:eastAsiaTheme="minorEastAsia"/>
                <w:noProof/>
                <w:lang w:val="fr-CA" w:eastAsia="en-CA"/>
              </w:rPr>
              <w:t>Sanctions</w:t>
            </w:r>
            <w:r w:rsidR="008E69F8" w:rsidRPr="00CB1763">
              <w:rPr>
                <w:rStyle w:val="Hyperlink"/>
                <w:noProof/>
                <w:lang w:val="fr-CA"/>
              </w:rPr>
              <w:t xml:space="preserve"> (</w:t>
            </w:r>
            <w:r w:rsidR="00C11769" w:rsidRPr="00CB1763">
              <w:rPr>
                <w:rStyle w:val="Hyperlink"/>
                <w:noProof/>
                <w:lang w:val="fr-CA"/>
              </w:rPr>
              <w:t>Section 13</w:t>
            </w:r>
            <w:r w:rsidR="008E69F8" w:rsidRPr="00CB1763">
              <w:rPr>
                <w:rStyle w:val="Hyperlink"/>
                <w:noProof/>
                <w:lang w:val="fr-CA"/>
              </w:rPr>
              <w:t xml:space="preserve"> du Code</w:t>
            </w:r>
            <w:r w:rsidR="00C11769" w:rsidRPr="00CB1763">
              <w:rPr>
                <w:rStyle w:val="Hyperlink"/>
                <w:noProof/>
                <w:lang w:val="fr-CA"/>
              </w:rPr>
              <w:t>)</w:t>
            </w:r>
            <w:r w:rsidR="00C11769" w:rsidRPr="00CB1763">
              <w:rPr>
                <w:noProof/>
                <w:webHidden/>
                <w:lang w:val="fr-CA"/>
              </w:rPr>
              <w:tab/>
            </w:r>
            <w:r w:rsidRPr="00CB1763">
              <w:rPr>
                <w:noProof/>
                <w:webHidden/>
                <w:lang w:val="fr-CA"/>
              </w:rPr>
              <w:fldChar w:fldCharType="begin"/>
            </w:r>
            <w:r w:rsidR="00C11769" w:rsidRPr="00CB1763">
              <w:rPr>
                <w:noProof/>
                <w:webHidden/>
                <w:lang w:val="fr-CA"/>
              </w:rPr>
              <w:instrText xml:space="preserve"> PAGEREF _Toc368318343 \h </w:instrText>
            </w:r>
            <w:r w:rsidRPr="00CB1763">
              <w:rPr>
                <w:noProof/>
                <w:webHidden/>
                <w:lang w:val="fr-CA"/>
              </w:rPr>
            </w:r>
            <w:r w:rsidRPr="00CB1763">
              <w:rPr>
                <w:noProof/>
                <w:webHidden/>
                <w:lang w:val="fr-CA"/>
              </w:rPr>
              <w:fldChar w:fldCharType="separate"/>
            </w:r>
            <w:r w:rsidR="00293C96" w:rsidRPr="00CB1763">
              <w:rPr>
                <w:noProof/>
                <w:webHidden/>
                <w:lang w:val="fr-CA"/>
              </w:rPr>
              <w:t>1</w:t>
            </w:r>
            <w:r w:rsidRPr="00CB1763">
              <w:rPr>
                <w:noProof/>
                <w:webHidden/>
                <w:lang w:val="fr-CA"/>
              </w:rPr>
              <w:fldChar w:fldCharType="end"/>
            </w:r>
          </w:hyperlink>
          <w:r w:rsidR="007A5DFE">
            <w:rPr>
              <w:noProof/>
              <w:lang w:val="fr-CA"/>
            </w:rPr>
            <w:t>5</w:t>
          </w:r>
        </w:p>
        <w:p w:rsidR="00C11769" w:rsidRPr="00CB1763" w:rsidRDefault="00487409">
          <w:pPr>
            <w:pStyle w:val="TOC2"/>
            <w:tabs>
              <w:tab w:val="left" w:pos="660"/>
              <w:tab w:val="right" w:leader="dot" w:pos="9350"/>
            </w:tabs>
            <w:rPr>
              <w:rFonts w:eastAsiaTheme="minorEastAsia"/>
              <w:noProof/>
              <w:lang w:val="fr-CA" w:eastAsia="en-CA"/>
            </w:rPr>
          </w:pPr>
          <w:hyperlink w:anchor="_Toc368318344" w:history="1">
            <w:r w:rsidR="00C11769" w:rsidRPr="00CB1763">
              <w:rPr>
                <w:rStyle w:val="Hyperlink"/>
                <w:noProof/>
                <w:lang w:val="fr-CA"/>
              </w:rPr>
              <w:t>K.</w:t>
            </w:r>
            <w:r w:rsidR="00C11769" w:rsidRPr="00CB1763">
              <w:rPr>
                <w:rFonts w:eastAsiaTheme="minorEastAsia"/>
                <w:noProof/>
                <w:lang w:val="fr-CA" w:eastAsia="en-CA"/>
              </w:rPr>
              <w:tab/>
            </w:r>
            <w:r w:rsidR="008E69F8" w:rsidRPr="00CB1763">
              <w:rPr>
                <w:rFonts w:eastAsiaTheme="minorEastAsia"/>
                <w:noProof/>
                <w:lang w:val="fr-CA" w:eastAsia="en-CA"/>
              </w:rPr>
              <w:t>Sensibilisation et prise de conscience</w:t>
            </w:r>
            <w:r w:rsidR="008E69F8" w:rsidRPr="00CB1763">
              <w:rPr>
                <w:rStyle w:val="Hyperlink"/>
                <w:noProof/>
                <w:lang w:val="fr-CA"/>
              </w:rPr>
              <w:t xml:space="preserve"> (</w:t>
            </w:r>
            <w:r w:rsidR="00C11769" w:rsidRPr="00CB1763">
              <w:rPr>
                <w:rStyle w:val="Hyperlink"/>
                <w:noProof/>
                <w:lang w:val="fr-CA"/>
              </w:rPr>
              <w:t>Section 15</w:t>
            </w:r>
            <w:r w:rsidR="008E69F8" w:rsidRPr="00CB1763">
              <w:rPr>
                <w:rStyle w:val="Hyperlink"/>
                <w:noProof/>
                <w:lang w:val="fr-CA"/>
              </w:rPr>
              <w:t xml:space="preserve"> du Code</w:t>
            </w:r>
            <w:r w:rsidR="00C11769" w:rsidRPr="00CB1763">
              <w:rPr>
                <w:rStyle w:val="Hyperlink"/>
                <w:noProof/>
                <w:lang w:val="fr-CA"/>
              </w:rPr>
              <w:t>)</w:t>
            </w:r>
            <w:r w:rsidR="00C11769" w:rsidRPr="00CB1763">
              <w:rPr>
                <w:noProof/>
                <w:webHidden/>
                <w:lang w:val="fr-CA"/>
              </w:rPr>
              <w:tab/>
            </w:r>
            <w:r w:rsidRPr="00CB1763">
              <w:rPr>
                <w:noProof/>
                <w:webHidden/>
                <w:lang w:val="fr-CA"/>
              </w:rPr>
              <w:fldChar w:fldCharType="begin"/>
            </w:r>
            <w:r w:rsidR="00C11769" w:rsidRPr="00CB1763">
              <w:rPr>
                <w:noProof/>
                <w:webHidden/>
                <w:lang w:val="fr-CA"/>
              </w:rPr>
              <w:instrText xml:space="preserve"> PAGEREF _Toc368318344 \h </w:instrText>
            </w:r>
            <w:r w:rsidRPr="00CB1763">
              <w:rPr>
                <w:noProof/>
                <w:webHidden/>
                <w:lang w:val="fr-CA"/>
              </w:rPr>
            </w:r>
            <w:r w:rsidRPr="00CB1763">
              <w:rPr>
                <w:noProof/>
                <w:webHidden/>
                <w:lang w:val="fr-CA"/>
              </w:rPr>
              <w:fldChar w:fldCharType="separate"/>
            </w:r>
            <w:r w:rsidR="00293C96" w:rsidRPr="00CB1763">
              <w:rPr>
                <w:noProof/>
                <w:webHidden/>
                <w:lang w:val="fr-CA"/>
              </w:rPr>
              <w:t>1</w:t>
            </w:r>
            <w:r w:rsidRPr="00CB1763">
              <w:rPr>
                <w:noProof/>
                <w:webHidden/>
                <w:lang w:val="fr-CA"/>
              </w:rPr>
              <w:fldChar w:fldCharType="end"/>
            </w:r>
          </w:hyperlink>
          <w:r w:rsidR="007A5DFE">
            <w:rPr>
              <w:noProof/>
              <w:lang w:val="fr-CA"/>
            </w:rPr>
            <w:t>6</w:t>
          </w:r>
        </w:p>
        <w:p w:rsidR="00C11769" w:rsidRPr="00CB1763" w:rsidRDefault="00487409">
          <w:pPr>
            <w:pStyle w:val="TOC2"/>
            <w:tabs>
              <w:tab w:val="left" w:pos="660"/>
              <w:tab w:val="right" w:leader="dot" w:pos="9350"/>
            </w:tabs>
            <w:rPr>
              <w:rFonts w:eastAsiaTheme="minorEastAsia"/>
              <w:noProof/>
              <w:lang w:val="fr-CA" w:eastAsia="en-CA"/>
            </w:rPr>
          </w:pPr>
          <w:hyperlink w:anchor="_Toc368318345" w:history="1">
            <w:r w:rsidR="00C11769" w:rsidRPr="00CB1763">
              <w:rPr>
                <w:rStyle w:val="Hyperlink"/>
                <w:noProof/>
                <w:lang w:val="fr-CA"/>
              </w:rPr>
              <w:t>L.</w:t>
            </w:r>
            <w:r w:rsidR="00C11769" w:rsidRPr="00CB1763">
              <w:rPr>
                <w:rFonts w:eastAsiaTheme="minorEastAsia"/>
                <w:noProof/>
                <w:lang w:val="fr-CA" w:eastAsia="en-CA"/>
              </w:rPr>
              <w:tab/>
            </w:r>
            <w:r w:rsidR="008E69F8" w:rsidRPr="00CB1763">
              <w:rPr>
                <w:rStyle w:val="Hyperlink"/>
                <w:noProof/>
                <w:lang w:val="fr-CA"/>
              </w:rPr>
              <w:t>Rôles et responsabilité</w:t>
            </w:r>
            <w:r w:rsidR="00C11769" w:rsidRPr="00CB1763">
              <w:rPr>
                <w:rStyle w:val="Hyperlink"/>
                <w:noProof/>
                <w:lang w:val="fr-CA"/>
              </w:rPr>
              <w:t xml:space="preserve">s </w:t>
            </w:r>
            <w:r w:rsidR="008E69F8" w:rsidRPr="00CB1763">
              <w:rPr>
                <w:rStyle w:val="Hyperlink"/>
                <w:noProof/>
                <w:lang w:val="fr-CA"/>
              </w:rPr>
              <w:t>du CIP (</w:t>
            </w:r>
            <w:r w:rsidR="00C11769" w:rsidRPr="00CB1763">
              <w:rPr>
                <w:rStyle w:val="Hyperlink"/>
                <w:noProof/>
                <w:lang w:val="fr-CA"/>
              </w:rPr>
              <w:t>Section 16</w:t>
            </w:r>
            <w:r w:rsidR="008E69F8" w:rsidRPr="00CB1763">
              <w:rPr>
                <w:rStyle w:val="Hyperlink"/>
                <w:noProof/>
                <w:lang w:val="fr-CA"/>
              </w:rPr>
              <w:t xml:space="preserve"> du Code</w:t>
            </w:r>
            <w:r w:rsidR="00C11769" w:rsidRPr="00CB1763">
              <w:rPr>
                <w:rStyle w:val="Hyperlink"/>
                <w:noProof/>
                <w:lang w:val="fr-CA"/>
              </w:rPr>
              <w:t>)</w:t>
            </w:r>
            <w:r w:rsidR="00C11769" w:rsidRPr="00CB1763">
              <w:rPr>
                <w:noProof/>
                <w:webHidden/>
                <w:lang w:val="fr-CA"/>
              </w:rPr>
              <w:tab/>
            </w:r>
            <w:r w:rsidRPr="00CB1763">
              <w:rPr>
                <w:noProof/>
                <w:webHidden/>
                <w:lang w:val="fr-CA"/>
              </w:rPr>
              <w:fldChar w:fldCharType="begin"/>
            </w:r>
            <w:r w:rsidR="00C11769" w:rsidRPr="00CB1763">
              <w:rPr>
                <w:noProof/>
                <w:webHidden/>
                <w:lang w:val="fr-CA"/>
              </w:rPr>
              <w:instrText xml:space="preserve"> PAGEREF _Toc368318345 \h </w:instrText>
            </w:r>
            <w:r w:rsidRPr="00CB1763">
              <w:rPr>
                <w:noProof/>
                <w:webHidden/>
                <w:lang w:val="fr-CA"/>
              </w:rPr>
            </w:r>
            <w:r w:rsidRPr="00CB1763">
              <w:rPr>
                <w:noProof/>
                <w:webHidden/>
                <w:lang w:val="fr-CA"/>
              </w:rPr>
              <w:fldChar w:fldCharType="separate"/>
            </w:r>
            <w:r w:rsidR="00293C96" w:rsidRPr="00CB1763">
              <w:rPr>
                <w:noProof/>
                <w:webHidden/>
                <w:lang w:val="fr-CA"/>
              </w:rPr>
              <w:t>1</w:t>
            </w:r>
            <w:r w:rsidRPr="00CB1763">
              <w:rPr>
                <w:noProof/>
                <w:webHidden/>
                <w:lang w:val="fr-CA"/>
              </w:rPr>
              <w:fldChar w:fldCharType="end"/>
            </w:r>
          </w:hyperlink>
          <w:r w:rsidR="007A5DFE">
            <w:rPr>
              <w:noProof/>
              <w:lang w:val="fr-CA"/>
            </w:rPr>
            <w:t>6</w:t>
          </w:r>
        </w:p>
        <w:p w:rsidR="00C11769" w:rsidRPr="00CB1763" w:rsidRDefault="00487409">
          <w:pPr>
            <w:pStyle w:val="TOC2"/>
            <w:tabs>
              <w:tab w:val="left" w:pos="880"/>
              <w:tab w:val="right" w:leader="dot" w:pos="9350"/>
            </w:tabs>
            <w:rPr>
              <w:rFonts w:eastAsiaTheme="minorEastAsia"/>
              <w:noProof/>
              <w:lang w:val="fr-CA" w:eastAsia="en-CA"/>
            </w:rPr>
          </w:pPr>
          <w:hyperlink w:anchor="_Toc368318346" w:history="1">
            <w:r w:rsidR="00C11769" w:rsidRPr="00CB1763">
              <w:rPr>
                <w:rStyle w:val="Hyperlink"/>
                <w:noProof/>
                <w:lang w:val="fr-CA"/>
              </w:rPr>
              <w:t>M.</w:t>
            </w:r>
            <w:r w:rsidR="008E69F8" w:rsidRPr="00CB1763">
              <w:rPr>
                <w:rStyle w:val="Hyperlink"/>
                <w:noProof/>
                <w:lang w:val="fr-CA"/>
              </w:rPr>
              <w:t xml:space="preserve">    Acceptation</w:t>
            </w:r>
            <w:r w:rsidR="00C11769" w:rsidRPr="00CB1763">
              <w:rPr>
                <w:rStyle w:val="Hyperlink"/>
                <w:noProof/>
                <w:lang w:val="fr-CA"/>
              </w:rPr>
              <w:t xml:space="preserve">, </w:t>
            </w:r>
            <w:r w:rsidR="008E69F8" w:rsidRPr="00CB1763">
              <w:rPr>
                <w:rStyle w:val="Hyperlink"/>
                <w:noProof/>
                <w:lang w:val="fr-CA"/>
              </w:rPr>
              <w:t xml:space="preserve">mise en œuvre, </w:t>
            </w:r>
            <w:r w:rsidR="00CA3310" w:rsidRPr="00CB1763">
              <w:rPr>
                <w:rStyle w:val="Hyperlink"/>
                <w:noProof/>
                <w:lang w:val="fr-CA"/>
              </w:rPr>
              <w:t>c</w:t>
            </w:r>
            <w:r w:rsidR="00C11769" w:rsidRPr="00CB1763">
              <w:rPr>
                <w:rStyle w:val="Hyperlink"/>
                <w:noProof/>
                <w:lang w:val="fr-CA"/>
              </w:rPr>
              <w:t>o</w:t>
            </w:r>
            <w:r w:rsidR="00CA3310" w:rsidRPr="00CB1763">
              <w:rPr>
                <w:rStyle w:val="Hyperlink"/>
                <w:noProof/>
                <w:lang w:val="fr-CA"/>
              </w:rPr>
              <w:t>nformité et modifications (</w:t>
            </w:r>
            <w:r w:rsidR="00C11769" w:rsidRPr="00CB1763">
              <w:rPr>
                <w:rStyle w:val="Hyperlink"/>
                <w:noProof/>
                <w:lang w:val="fr-CA"/>
              </w:rPr>
              <w:t>Section 17</w:t>
            </w:r>
            <w:r w:rsidR="00CA3310" w:rsidRPr="00CB1763">
              <w:rPr>
                <w:rStyle w:val="Hyperlink"/>
                <w:noProof/>
                <w:lang w:val="fr-CA"/>
              </w:rPr>
              <w:t xml:space="preserve"> du Code</w:t>
            </w:r>
            <w:r w:rsidR="00C11769" w:rsidRPr="00CB1763">
              <w:rPr>
                <w:rStyle w:val="Hyperlink"/>
                <w:noProof/>
                <w:lang w:val="fr-CA"/>
              </w:rPr>
              <w:t>)</w:t>
            </w:r>
            <w:r w:rsidR="00C11769" w:rsidRPr="00CB1763">
              <w:rPr>
                <w:noProof/>
                <w:webHidden/>
                <w:lang w:val="fr-CA"/>
              </w:rPr>
              <w:tab/>
            </w:r>
            <w:r w:rsidRPr="00CB1763">
              <w:rPr>
                <w:noProof/>
                <w:webHidden/>
                <w:lang w:val="fr-CA"/>
              </w:rPr>
              <w:fldChar w:fldCharType="begin"/>
            </w:r>
            <w:r w:rsidR="00C11769" w:rsidRPr="00CB1763">
              <w:rPr>
                <w:noProof/>
                <w:webHidden/>
                <w:lang w:val="fr-CA"/>
              </w:rPr>
              <w:instrText xml:space="preserve"> PAGEREF _Toc368318346 \h </w:instrText>
            </w:r>
            <w:r w:rsidRPr="00CB1763">
              <w:rPr>
                <w:noProof/>
                <w:webHidden/>
                <w:lang w:val="fr-CA"/>
              </w:rPr>
            </w:r>
            <w:r w:rsidRPr="00CB1763">
              <w:rPr>
                <w:noProof/>
                <w:webHidden/>
                <w:lang w:val="fr-CA"/>
              </w:rPr>
              <w:fldChar w:fldCharType="separate"/>
            </w:r>
            <w:r w:rsidR="00293C96" w:rsidRPr="00CB1763">
              <w:rPr>
                <w:noProof/>
                <w:webHidden/>
                <w:lang w:val="fr-CA"/>
              </w:rPr>
              <w:t>1</w:t>
            </w:r>
            <w:r w:rsidRPr="00CB1763">
              <w:rPr>
                <w:noProof/>
                <w:webHidden/>
                <w:lang w:val="fr-CA"/>
              </w:rPr>
              <w:fldChar w:fldCharType="end"/>
            </w:r>
          </w:hyperlink>
          <w:r w:rsidR="007A5DFE">
            <w:rPr>
              <w:noProof/>
              <w:lang w:val="fr-CA"/>
            </w:rPr>
            <w:t>7</w:t>
          </w:r>
        </w:p>
        <w:p w:rsidR="00C11769" w:rsidRPr="00CB1763" w:rsidRDefault="00487409">
          <w:pPr>
            <w:pStyle w:val="TOC2"/>
            <w:tabs>
              <w:tab w:val="left" w:pos="660"/>
              <w:tab w:val="right" w:leader="dot" w:pos="9350"/>
            </w:tabs>
            <w:rPr>
              <w:rFonts w:eastAsiaTheme="minorEastAsia"/>
              <w:noProof/>
              <w:lang w:val="fr-CA" w:eastAsia="en-CA"/>
            </w:rPr>
          </w:pPr>
          <w:hyperlink w:anchor="_Toc368318347" w:history="1">
            <w:r w:rsidR="00C11769" w:rsidRPr="00CB1763">
              <w:rPr>
                <w:rStyle w:val="Hyperlink"/>
                <w:noProof/>
                <w:lang w:val="fr-CA"/>
              </w:rPr>
              <w:t>N.</w:t>
            </w:r>
            <w:r w:rsidR="00C11769" w:rsidRPr="00CB1763">
              <w:rPr>
                <w:rFonts w:eastAsiaTheme="minorEastAsia"/>
                <w:noProof/>
                <w:lang w:val="fr-CA" w:eastAsia="en-CA"/>
              </w:rPr>
              <w:tab/>
            </w:r>
            <w:r w:rsidR="00C11769" w:rsidRPr="00CB1763">
              <w:rPr>
                <w:rStyle w:val="Hyperlink"/>
                <w:noProof/>
                <w:lang w:val="fr-CA"/>
              </w:rPr>
              <w:t>Glossa</w:t>
            </w:r>
            <w:r w:rsidR="00CA3310" w:rsidRPr="00CB1763">
              <w:rPr>
                <w:rStyle w:val="Hyperlink"/>
                <w:noProof/>
                <w:lang w:val="fr-CA"/>
              </w:rPr>
              <w:t>ire</w:t>
            </w:r>
            <w:r w:rsidR="00C11769" w:rsidRPr="00CB1763">
              <w:rPr>
                <w:rStyle w:val="Hyperlink"/>
                <w:noProof/>
                <w:lang w:val="fr-CA"/>
              </w:rPr>
              <w:t xml:space="preserve"> (</w:t>
            </w:r>
            <w:r w:rsidR="00CA3310" w:rsidRPr="00CB1763">
              <w:rPr>
                <w:rStyle w:val="Hyperlink"/>
                <w:noProof/>
                <w:lang w:val="fr-CA"/>
              </w:rPr>
              <w:t>Annexe 2 du Code</w:t>
            </w:r>
            <w:r w:rsidR="00C11769" w:rsidRPr="00CB1763">
              <w:rPr>
                <w:rStyle w:val="Hyperlink"/>
                <w:noProof/>
                <w:lang w:val="fr-CA"/>
              </w:rPr>
              <w:t>)</w:t>
            </w:r>
            <w:r w:rsidR="00C11769" w:rsidRPr="00CB1763">
              <w:rPr>
                <w:noProof/>
                <w:webHidden/>
                <w:lang w:val="fr-CA"/>
              </w:rPr>
              <w:tab/>
            </w:r>
            <w:r w:rsidRPr="00CB1763">
              <w:rPr>
                <w:noProof/>
                <w:webHidden/>
                <w:lang w:val="fr-CA"/>
              </w:rPr>
              <w:fldChar w:fldCharType="begin"/>
            </w:r>
            <w:r w:rsidR="00C11769" w:rsidRPr="00CB1763">
              <w:rPr>
                <w:noProof/>
                <w:webHidden/>
                <w:lang w:val="fr-CA"/>
              </w:rPr>
              <w:instrText xml:space="preserve"> PAGEREF _Toc368318347 \h </w:instrText>
            </w:r>
            <w:r w:rsidRPr="00CB1763">
              <w:rPr>
                <w:noProof/>
                <w:webHidden/>
                <w:lang w:val="fr-CA"/>
              </w:rPr>
            </w:r>
            <w:r w:rsidRPr="00CB1763">
              <w:rPr>
                <w:noProof/>
                <w:webHidden/>
                <w:lang w:val="fr-CA"/>
              </w:rPr>
              <w:fldChar w:fldCharType="separate"/>
            </w:r>
            <w:r w:rsidR="00293C96" w:rsidRPr="00CB1763">
              <w:rPr>
                <w:noProof/>
                <w:webHidden/>
                <w:lang w:val="fr-CA"/>
              </w:rPr>
              <w:t>1</w:t>
            </w:r>
            <w:r w:rsidRPr="00CB1763">
              <w:rPr>
                <w:noProof/>
                <w:webHidden/>
                <w:lang w:val="fr-CA"/>
              </w:rPr>
              <w:fldChar w:fldCharType="end"/>
            </w:r>
          </w:hyperlink>
          <w:r w:rsidR="007A5DFE">
            <w:rPr>
              <w:noProof/>
              <w:lang w:val="fr-CA"/>
            </w:rPr>
            <w:t>7</w:t>
          </w:r>
        </w:p>
        <w:p w:rsidR="00C11769" w:rsidRPr="00CB1763" w:rsidRDefault="00487409">
          <w:pPr>
            <w:pStyle w:val="TOC2"/>
            <w:tabs>
              <w:tab w:val="left" w:pos="660"/>
              <w:tab w:val="right" w:leader="dot" w:pos="9350"/>
            </w:tabs>
            <w:rPr>
              <w:rFonts w:eastAsiaTheme="minorEastAsia"/>
              <w:noProof/>
              <w:lang w:val="fr-CA" w:eastAsia="en-CA"/>
            </w:rPr>
          </w:pPr>
          <w:hyperlink w:anchor="_Toc368318348" w:history="1">
            <w:r w:rsidR="00C11769" w:rsidRPr="00CB1763">
              <w:rPr>
                <w:rStyle w:val="Hyperlink"/>
                <w:rFonts w:cs="Arial"/>
                <w:noProof/>
                <w:lang w:val="fr-CA"/>
              </w:rPr>
              <w:t>O.</w:t>
            </w:r>
            <w:r w:rsidR="00C11769" w:rsidRPr="00CB1763">
              <w:rPr>
                <w:rFonts w:eastAsiaTheme="minorEastAsia"/>
                <w:noProof/>
                <w:lang w:val="fr-CA" w:eastAsia="en-CA"/>
              </w:rPr>
              <w:tab/>
            </w:r>
            <w:r w:rsidR="00CA3310" w:rsidRPr="00CB1763">
              <w:rPr>
                <w:rFonts w:eastAsiaTheme="minorEastAsia"/>
                <w:noProof/>
                <w:lang w:val="fr-CA" w:eastAsia="en-CA"/>
              </w:rPr>
              <w:t>Loi applicable</w:t>
            </w:r>
            <w:r w:rsidR="00C11769" w:rsidRPr="00CB1763">
              <w:rPr>
                <w:noProof/>
                <w:webHidden/>
                <w:lang w:val="fr-CA"/>
              </w:rPr>
              <w:tab/>
            </w:r>
            <w:r w:rsidRPr="00CB1763">
              <w:rPr>
                <w:noProof/>
                <w:webHidden/>
                <w:lang w:val="fr-CA"/>
              </w:rPr>
              <w:fldChar w:fldCharType="begin"/>
            </w:r>
            <w:r w:rsidR="00C11769" w:rsidRPr="00CB1763">
              <w:rPr>
                <w:noProof/>
                <w:webHidden/>
                <w:lang w:val="fr-CA"/>
              </w:rPr>
              <w:instrText xml:space="preserve"> PAGEREF _Toc368318348 \h </w:instrText>
            </w:r>
            <w:r w:rsidRPr="00CB1763">
              <w:rPr>
                <w:noProof/>
                <w:webHidden/>
                <w:lang w:val="fr-CA"/>
              </w:rPr>
            </w:r>
            <w:r w:rsidRPr="00CB1763">
              <w:rPr>
                <w:noProof/>
                <w:webHidden/>
                <w:lang w:val="fr-CA"/>
              </w:rPr>
              <w:fldChar w:fldCharType="separate"/>
            </w:r>
            <w:r w:rsidR="00293C96" w:rsidRPr="00CB1763">
              <w:rPr>
                <w:noProof/>
                <w:webHidden/>
                <w:lang w:val="fr-CA"/>
              </w:rPr>
              <w:t>1</w:t>
            </w:r>
            <w:r w:rsidRPr="00CB1763">
              <w:rPr>
                <w:noProof/>
                <w:webHidden/>
                <w:lang w:val="fr-CA"/>
              </w:rPr>
              <w:fldChar w:fldCharType="end"/>
            </w:r>
          </w:hyperlink>
          <w:r w:rsidR="007A5DFE">
            <w:rPr>
              <w:noProof/>
              <w:lang w:val="fr-CA"/>
            </w:rPr>
            <w:t>7</w:t>
          </w:r>
        </w:p>
        <w:p w:rsidR="00C11769" w:rsidRPr="00CB1763" w:rsidRDefault="00487409">
          <w:pPr>
            <w:pStyle w:val="TOC2"/>
            <w:tabs>
              <w:tab w:val="left" w:pos="660"/>
              <w:tab w:val="right" w:leader="dot" w:pos="9350"/>
            </w:tabs>
            <w:rPr>
              <w:rFonts w:eastAsiaTheme="minorEastAsia"/>
              <w:noProof/>
              <w:lang w:val="fr-CA" w:eastAsia="en-CA"/>
            </w:rPr>
          </w:pPr>
          <w:hyperlink w:anchor="_Toc368318349" w:history="1">
            <w:r w:rsidR="00C11769" w:rsidRPr="00CB1763">
              <w:rPr>
                <w:rStyle w:val="Hyperlink"/>
                <w:noProof/>
                <w:lang w:val="fr-CA"/>
              </w:rPr>
              <w:t>P.</w:t>
            </w:r>
            <w:r w:rsidR="00C11769" w:rsidRPr="00CB1763">
              <w:rPr>
                <w:rFonts w:eastAsiaTheme="minorEastAsia"/>
                <w:noProof/>
                <w:lang w:val="fr-CA" w:eastAsia="en-CA"/>
              </w:rPr>
              <w:tab/>
            </w:r>
            <w:r w:rsidR="000C010A" w:rsidRPr="00CB1763">
              <w:rPr>
                <w:rStyle w:val="Hyperlink"/>
                <w:noProof/>
                <w:lang w:val="fr-CA"/>
              </w:rPr>
              <w:t>Accessibilité du</w:t>
            </w:r>
            <w:r w:rsidR="00C11769" w:rsidRPr="00CB1763">
              <w:rPr>
                <w:rStyle w:val="Hyperlink"/>
                <w:noProof/>
                <w:lang w:val="fr-CA"/>
              </w:rPr>
              <w:t xml:space="preserve"> Code</w:t>
            </w:r>
            <w:r w:rsidR="00C11769" w:rsidRPr="00CB1763">
              <w:rPr>
                <w:noProof/>
                <w:webHidden/>
                <w:lang w:val="fr-CA"/>
              </w:rPr>
              <w:tab/>
            </w:r>
            <w:r w:rsidRPr="00CB1763">
              <w:rPr>
                <w:noProof/>
                <w:webHidden/>
                <w:lang w:val="fr-CA"/>
              </w:rPr>
              <w:fldChar w:fldCharType="begin"/>
            </w:r>
            <w:r w:rsidR="00C11769" w:rsidRPr="00CB1763">
              <w:rPr>
                <w:noProof/>
                <w:webHidden/>
                <w:lang w:val="fr-CA"/>
              </w:rPr>
              <w:instrText xml:space="preserve"> PAGEREF _Toc368318349 \h </w:instrText>
            </w:r>
            <w:r w:rsidRPr="00CB1763">
              <w:rPr>
                <w:noProof/>
                <w:webHidden/>
                <w:lang w:val="fr-CA"/>
              </w:rPr>
            </w:r>
            <w:r w:rsidRPr="00CB1763">
              <w:rPr>
                <w:noProof/>
                <w:webHidden/>
                <w:lang w:val="fr-CA"/>
              </w:rPr>
              <w:fldChar w:fldCharType="separate"/>
            </w:r>
            <w:r w:rsidR="00293C96" w:rsidRPr="00CB1763">
              <w:rPr>
                <w:noProof/>
                <w:webHidden/>
                <w:lang w:val="fr-CA"/>
              </w:rPr>
              <w:t>1</w:t>
            </w:r>
            <w:r w:rsidRPr="00CB1763">
              <w:rPr>
                <w:noProof/>
                <w:webHidden/>
                <w:lang w:val="fr-CA"/>
              </w:rPr>
              <w:fldChar w:fldCharType="end"/>
            </w:r>
          </w:hyperlink>
          <w:r w:rsidR="007A5DFE">
            <w:rPr>
              <w:noProof/>
              <w:lang w:val="fr-CA"/>
            </w:rPr>
            <w:t>8</w:t>
          </w:r>
        </w:p>
        <w:p w:rsidR="00C11769" w:rsidRPr="00CB1763" w:rsidRDefault="00487409">
          <w:pPr>
            <w:pStyle w:val="TOC1"/>
            <w:tabs>
              <w:tab w:val="left" w:pos="660"/>
              <w:tab w:val="right" w:leader="dot" w:pos="9350"/>
            </w:tabs>
            <w:rPr>
              <w:rFonts w:eastAsiaTheme="minorEastAsia"/>
              <w:noProof/>
              <w:lang w:val="fr-CA" w:eastAsia="en-CA"/>
            </w:rPr>
          </w:pPr>
          <w:hyperlink w:anchor="_Toc368318350" w:history="1">
            <w:r w:rsidR="00C11769" w:rsidRPr="00CB1763">
              <w:rPr>
                <w:rStyle w:val="Hyperlink"/>
                <w:rFonts w:eastAsia="Times New Roman"/>
                <w:noProof/>
                <w:lang w:val="fr-CA"/>
              </w:rPr>
              <w:t>III.</w:t>
            </w:r>
            <w:r w:rsidR="00C11769" w:rsidRPr="00CB1763">
              <w:rPr>
                <w:rFonts w:eastAsiaTheme="minorEastAsia"/>
                <w:noProof/>
                <w:lang w:val="fr-CA" w:eastAsia="en-CA"/>
              </w:rPr>
              <w:tab/>
            </w:r>
            <w:r w:rsidR="000C010A" w:rsidRPr="00CB1763">
              <w:rPr>
                <w:rFonts w:eastAsiaTheme="minorEastAsia"/>
                <w:noProof/>
                <w:lang w:val="fr-CA" w:eastAsia="en-CA"/>
              </w:rPr>
              <w:t xml:space="preserve">Norme </w:t>
            </w:r>
            <w:r w:rsidR="000C010A" w:rsidRPr="00CB1763">
              <w:rPr>
                <w:rStyle w:val="Hyperlink"/>
                <w:rFonts w:eastAsia="Times New Roman"/>
                <w:noProof/>
                <w:lang w:val="fr-CA"/>
              </w:rPr>
              <w:t>i</w:t>
            </w:r>
            <w:r w:rsidR="00C11769" w:rsidRPr="00CB1763">
              <w:rPr>
                <w:rStyle w:val="Hyperlink"/>
                <w:rFonts w:eastAsia="Times New Roman"/>
                <w:noProof/>
                <w:lang w:val="fr-CA"/>
              </w:rPr>
              <w:t>nternational</w:t>
            </w:r>
            <w:r w:rsidR="000C010A" w:rsidRPr="00CB1763">
              <w:rPr>
                <w:rStyle w:val="Hyperlink"/>
                <w:rFonts w:eastAsia="Times New Roman"/>
                <w:noProof/>
                <w:lang w:val="fr-CA"/>
              </w:rPr>
              <w:t>e</w:t>
            </w:r>
            <w:r w:rsidR="00C11769" w:rsidRPr="00CB1763">
              <w:rPr>
                <w:rStyle w:val="Hyperlink"/>
                <w:rFonts w:eastAsia="Times New Roman"/>
                <w:noProof/>
                <w:lang w:val="fr-CA"/>
              </w:rPr>
              <w:t xml:space="preserve"> </w:t>
            </w:r>
            <w:r w:rsidR="000C010A" w:rsidRPr="00CB1763">
              <w:rPr>
                <w:rStyle w:val="Hyperlink"/>
                <w:rFonts w:eastAsia="Times New Roman"/>
                <w:noProof/>
                <w:lang w:val="fr-CA"/>
              </w:rPr>
              <w:t>sur l’évaluation des athlè</w:t>
            </w:r>
            <w:r w:rsidR="00C11769" w:rsidRPr="00CB1763">
              <w:rPr>
                <w:rStyle w:val="Hyperlink"/>
                <w:rFonts w:eastAsia="Times New Roman"/>
                <w:noProof/>
                <w:lang w:val="fr-CA"/>
              </w:rPr>
              <w:t>te</w:t>
            </w:r>
            <w:r w:rsidR="000C010A" w:rsidRPr="00CB1763">
              <w:rPr>
                <w:rStyle w:val="Hyperlink"/>
                <w:rFonts w:eastAsia="Times New Roman"/>
                <w:noProof/>
                <w:lang w:val="fr-CA"/>
              </w:rPr>
              <w:t>s</w:t>
            </w:r>
            <w:r w:rsidR="00C11769" w:rsidRPr="00CB1763">
              <w:rPr>
                <w:noProof/>
                <w:webHidden/>
                <w:lang w:val="fr-CA"/>
              </w:rPr>
              <w:tab/>
            </w:r>
            <w:r w:rsidRPr="00CB1763">
              <w:rPr>
                <w:noProof/>
                <w:webHidden/>
                <w:lang w:val="fr-CA"/>
              </w:rPr>
              <w:fldChar w:fldCharType="begin"/>
            </w:r>
            <w:r w:rsidR="00C11769" w:rsidRPr="00CB1763">
              <w:rPr>
                <w:noProof/>
                <w:webHidden/>
                <w:lang w:val="fr-CA"/>
              </w:rPr>
              <w:instrText xml:space="preserve"> PAGEREF _Toc368318350 \h </w:instrText>
            </w:r>
            <w:r w:rsidRPr="00CB1763">
              <w:rPr>
                <w:noProof/>
                <w:webHidden/>
                <w:lang w:val="fr-CA"/>
              </w:rPr>
            </w:r>
            <w:r w:rsidRPr="00CB1763">
              <w:rPr>
                <w:noProof/>
                <w:webHidden/>
                <w:lang w:val="fr-CA"/>
              </w:rPr>
              <w:fldChar w:fldCharType="separate"/>
            </w:r>
            <w:r w:rsidR="00293C96" w:rsidRPr="00CB1763">
              <w:rPr>
                <w:noProof/>
                <w:webHidden/>
                <w:lang w:val="fr-CA"/>
              </w:rPr>
              <w:t>1</w:t>
            </w:r>
            <w:r w:rsidRPr="00CB1763">
              <w:rPr>
                <w:noProof/>
                <w:webHidden/>
                <w:lang w:val="fr-CA"/>
              </w:rPr>
              <w:fldChar w:fldCharType="end"/>
            </w:r>
          </w:hyperlink>
          <w:r w:rsidR="007A5DFE">
            <w:rPr>
              <w:noProof/>
              <w:lang w:val="fr-CA"/>
            </w:rPr>
            <w:t>9</w:t>
          </w:r>
        </w:p>
        <w:p w:rsidR="00C11769" w:rsidRPr="00CB1763" w:rsidRDefault="00487409">
          <w:pPr>
            <w:pStyle w:val="TOC2"/>
            <w:tabs>
              <w:tab w:val="left" w:pos="660"/>
              <w:tab w:val="right" w:leader="dot" w:pos="9350"/>
            </w:tabs>
            <w:rPr>
              <w:rFonts w:eastAsiaTheme="minorEastAsia"/>
              <w:noProof/>
              <w:lang w:val="fr-CA" w:eastAsia="en-CA"/>
            </w:rPr>
          </w:pPr>
          <w:hyperlink w:anchor="_Toc368318351" w:history="1">
            <w:r w:rsidR="00C11769" w:rsidRPr="00CB1763">
              <w:rPr>
                <w:rStyle w:val="Hyperlink"/>
                <w:rFonts w:eastAsia="Times New Roman"/>
                <w:noProof/>
                <w:lang w:val="fr-CA"/>
              </w:rPr>
              <w:t>Q.</w:t>
            </w:r>
            <w:r w:rsidR="00C11769" w:rsidRPr="00CB1763">
              <w:rPr>
                <w:rFonts w:eastAsiaTheme="minorEastAsia"/>
                <w:noProof/>
                <w:lang w:val="fr-CA" w:eastAsia="en-CA"/>
              </w:rPr>
              <w:tab/>
            </w:r>
            <w:r w:rsidR="000C010A" w:rsidRPr="00CB1763">
              <w:rPr>
                <w:rStyle w:val="Hyperlink"/>
                <w:rFonts w:eastAsia="Times New Roman"/>
                <w:noProof/>
                <w:lang w:val="fr-CA"/>
              </w:rPr>
              <w:t>Accessibilité des règlements</w:t>
            </w:r>
            <w:r w:rsidR="00C11769" w:rsidRPr="00CB1763">
              <w:rPr>
                <w:rStyle w:val="Hyperlink"/>
                <w:rFonts w:eastAsia="Times New Roman"/>
                <w:noProof/>
                <w:lang w:val="fr-CA"/>
              </w:rPr>
              <w:t xml:space="preserve"> (</w:t>
            </w:r>
            <w:r w:rsidR="000C010A" w:rsidRPr="00CB1763">
              <w:rPr>
                <w:rStyle w:val="Hyperlink"/>
                <w:rFonts w:eastAsia="Times New Roman"/>
                <w:noProof/>
                <w:lang w:val="fr-CA"/>
              </w:rPr>
              <w:t>Norme internationale sur l’évaluation des athlètes</w:t>
            </w:r>
            <w:r w:rsidR="00C11769" w:rsidRPr="00CB1763">
              <w:rPr>
                <w:rStyle w:val="Hyperlink"/>
                <w:rFonts w:eastAsia="Times New Roman"/>
                <w:noProof/>
                <w:lang w:val="fr-CA"/>
              </w:rPr>
              <w:t>, Sect. 2.6)</w:t>
            </w:r>
            <w:r w:rsidR="00C11769" w:rsidRPr="00CB1763">
              <w:rPr>
                <w:noProof/>
                <w:webHidden/>
                <w:lang w:val="fr-CA"/>
              </w:rPr>
              <w:tab/>
            </w:r>
            <w:r w:rsidRPr="00CB1763">
              <w:rPr>
                <w:noProof/>
                <w:webHidden/>
                <w:lang w:val="fr-CA"/>
              </w:rPr>
              <w:fldChar w:fldCharType="begin"/>
            </w:r>
            <w:r w:rsidR="00C11769" w:rsidRPr="00CB1763">
              <w:rPr>
                <w:noProof/>
                <w:webHidden/>
                <w:lang w:val="fr-CA"/>
              </w:rPr>
              <w:instrText xml:space="preserve"> PAGEREF _Toc368318351 \h </w:instrText>
            </w:r>
            <w:r w:rsidRPr="00CB1763">
              <w:rPr>
                <w:noProof/>
                <w:webHidden/>
                <w:lang w:val="fr-CA"/>
              </w:rPr>
            </w:r>
            <w:r w:rsidRPr="00CB1763">
              <w:rPr>
                <w:noProof/>
                <w:webHidden/>
                <w:lang w:val="fr-CA"/>
              </w:rPr>
              <w:fldChar w:fldCharType="separate"/>
            </w:r>
            <w:r w:rsidR="00293C96" w:rsidRPr="00CB1763">
              <w:rPr>
                <w:noProof/>
                <w:webHidden/>
                <w:lang w:val="fr-CA"/>
              </w:rPr>
              <w:t>1</w:t>
            </w:r>
            <w:r w:rsidRPr="00CB1763">
              <w:rPr>
                <w:noProof/>
                <w:webHidden/>
                <w:lang w:val="fr-CA"/>
              </w:rPr>
              <w:fldChar w:fldCharType="end"/>
            </w:r>
          </w:hyperlink>
          <w:r w:rsidR="007A5DFE">
            <w:rPr>
              <w:noProof/>
              <w:lang w:val="fr-CA"/>
            </w:rPr>
            <w:t>9</w:t>
          </w:r>
        </w:p>
        <w:p w:rsidR="00C11769" w:rsidRPr="00CB1763" w:rsidRDefault="00487409">
          <w:pPr>
            <w:pStyle w:val="TOC2"/>
            <w:tabs>
              <w:tab w:val="left" w:pos="660"/>
              <w:tab w:val="right" w:leader="dot" w:pos="9350"/>
            </w:tabs>
            <w:rPr>
              <w:rFonts w:eastAsiaTheme="minorEastAsia"/>
              <w:noProof/>
              <w:lang w:val="fr-CA" w:eastAsia="en-CA"/>
            </w:rPr>
          </w:pPr>
          <w:hyperlink w:anchor="_Toc368318352" w:history="1">
            <w:r w:rsidR="00C11769" w:rsidRPr="00CB1763">
              <w:rPr>
                <w:rStyle w:val="Hyperlink"/>
                <w:rFonts w:eastAsia="Times New Roman"/>
                <w:noProof/>
                <w:lang w:val="fr-CA"/>
              </w:rPr>
              <w:t>R.</w:t>
            </w:r>
            <w:r w:rsidR="00C11769" w:rsidRPr="00CB1763">
              <w:rPr>
                <w:rFonts w:eastAsiaTheme="minorEastAsia"/>
                <w:noProof/>
                <w:lang w:val="fr-CA" w:eastAsia="en-CA"/>
              </w:rPr>
              <w:tab/>
            </w:r>
            <w:r w:rsidR="00C11769" w:rsidRPr="00CB1763">
              <w:rPr>
                <w:rStyle w:val="Hyperlink"/>
                <w:rFonts w:eastAsia="Times New Roman"/>
                <w:noProof/>
                <w:lang w:val="fr-CA"/>
              </w:rPr>
              <w:t>Classifications</w:t>
            </w:r>
            <w:r w:rsidR="00425F54" w:rsidRPr="00CB1763">
              <w:rPr>
                <w:rStyle w:val="Hyperlink"/>
                <w:rFonts w:eastAsia="Times New Roman"/>
                <w:noProof/>
                <w:lang w:val="fr-CA"/>
              </w:rPr>
              <w:t xml:space="preserve"> à l’échelon national</w:t>
            </w:r>
            <w:r w:rsidR="00C11769" w:rsidRPr="00CB1763">
              <w:rPr>
                <w:rStyle w:val="Hyperlink"/>
                <w:rFonts w:eastAsia="Times New Roman"/>
                <w:noProof/>
                <w:lang w:val="fr-CA"/>
              </w:rPr>
              <w:t xml:space="preserve"> (</w:t>
            </w:r>
            <w:r w:rsidR="000C010A" w:rsidRPr="00CB1763">
              <w:rPr>
                <w:rStyle w:val="Hyperlink"/>
                <w:rFonts w:eastAsia="Times New Roman"/>
                <w:noProof/>
                <w:lang w:val="fr-CA"/>
              </w:rPr>
              <w:t>Norme internationale sur l’évaluation des athlètes, S</w:t>
            </w:r>
            <w:r w:rsidR="00425F54" w:rsidRPr="00CB1763">
              <w:rPr>
                <w:rStyle w:val="Hyperlink"/>
                <w:rFonts w:eastAsia="Times New Roman"/>
                <w:noProof/>
                <w:lang w:val="fr-CA"/>
              </w:rPr>
              <w:t>ect.</w:t>
            </w:r>
            <w:r w:rsidR="00C11769" w:rsidRPr="00CB1763">
              <w:rPr>
                <w:rStyle w:val="Hyperlink"/>
                <w:rFonts w:eastAsia="Times New Roman"/>
                <w:noProof/>
                <w:lang w:val="fr-CA"/>
              </w:rPr>
              <w:t xml:space="preserve"> 2.8)</w:t>
            </w:r>
            <w:r w:rsidR="00C11769" w:rsidRPr="00CB1763">
              <w:rPr>
                <w:noProof/>
                <w:webHidden/>
                <w:lang w:val="fr-CA"/>
              </w:rPr>
              <w:tab/>
            </w:r>
            <w:r w:rsidR="00425F54" w:rsidRPr="00CB1763">
              <w:rPr>
                <w:noProof/>
                <w:webHidden/>
                <w:lang w:val="fr-CA"/>
              </w:rPr>
              <w:tab/>
            </w:r>
            <w:r w:rsidR="00425F54" w:rsidRPr="00CB1763">
              <w:rPr>
                <w:noProof/>
                <w:webHidden/>
                <w:lang w:val="fr-CA"/>
              </w:rPr>
              <w:tab/>
            </w:r>
            <w:r w:rsidR="00425F54" w:rsidRPr="00CB1763">
              <w:rPr>
                <w:noProof/>
                <w:webHidden/>
                <w:lang w:val="fr-CA"/>
              </w:rPr>
              <w:tab/>
            </w:r>
            <w:r w:rsidRPr="00CB1763">
              <w:rPr>
                <w:noProof/>
                <w:webHidden/>
                <w:lang w:val="fr-CA"/>
              </w:rPr>
              <w:fldChar w:fldCharType="begin"/>
            </w:r>
            <w:r w:rsidR="00C11769" w:rsidRPr="00CB1763">
              <w:rPr>
                <w:noProof/>
                <w:webHidden/>
                <w:lang w:val="fr-CA"/>
              </w:rPr>
              <w:instrText xml:space="preserve"> PAGEREF _Toc368318352 \h </w:instrText>
            </w:r>
            <w:r w:rsidRPr="00CB1763">
              <w:rPr>
                <w:noProof/>
                <w:webHidden/>
                <w:lang w:val="fr-CA"/>
              </w:rPr>
            </w:r>
            <w:r w:rsidRPr="00CB1763">
              <w:rPr>
                <w:noProof/>
                <w:webHidden/>
                <w:lang w:val="fr-CA"/>
              </w:rPr>
              <w:fldChar w:fldCharType="separate"/>
            </w:r>
            <w:r w:rsidR="00293C96" w:rsidRPr="00CB1763">
              <w:rPr>
                <w:noProof/>
                <w:webHidden/>
                <w:lang w:val="fr-CA"/>
              </w:rPr>
              <w:t>1</w:t>
            </w:r>
            <w:r w:rsidRPr="00CB1763">
              <w:rPr>
                <w:noProof/>
                <w:webHidden/>
                <w:lang w:val="fr-CA"/>
              </w:rPr>
              <w:fldChar w:fldCharType="end"/>
            </w:r>
          </w:hyperlink>
          <w:r w:rsidR="007A5DFE">
            <w:rPr>
              <w:noProof/>
              <w:lang w:val="fr-CA"/>
            </w:rPr>
            <w:t>9</w:t>
          </w:r>
        </w:p>
        <w:p w:rsidR="00C11769" w:rsidRPr="00CB1763" w:rsidRDefault="00487409">
          <w:pPr>
            <w:pStyle w:val="TOC2"/>
            <w:tabs>
              <w:tab w:val="left" w:pos="660"/>
              <w:tab w:val="right" w:leader="dot" w:pos="9350"/>
            </w:tabs>
            <w:rPr>
              <w:rFonts w:eastAsiaTheme="minorEastAsia"/>
              <w:noProof/>
              <w:lang w:val="fr-CA" w:eastAsia="en-CA"/>
            </w:rPr>
          </w:pPr>
          <w:hyperlink w:anchor="_Toc368318353" w:history="1">
            <w:r w:rsidR="00C11769" w:rsidRPr="00CB1763">
              <w:rPr>
                <w:rStyle w:val="Hyperlink"/>
                <w:rFonts w:eastAsia="Times New Roman"/>
                <w:noProof/>
                <w:lang w:val="fr-CA"/>
              </w:rPr>
              <w:t>S.</w:t>
            </w:r>
            <w:r w:rsidR="00C11769" w:rsidRPr="00CB1763">
              <w:rPr>
                <w:rFonts w:eastAsiaTheme="minorEastAsia"/>
                <w:noProof/>
                <w:lang w:val="fr-CA" w:eastAsia="en-CA"/>
              </w:rPr>
              <w:tab/>
            </w:r>
            <w:r w:rsidR="00537408" w:rsidRPr="00CB1763">
              <w:rPr>
                <w:rFonts w:eastAsiaTheme="minorEastAsia"/>
                <w:noProof/>
                <w:lang w:val="fr-CA" w:eastAsia="en-CA"/>
              </w:rPr>
              <w:t xml:space="preserve">État </w:t>
            </w:r>
            <w:r w:rsidR="00D00445" w:rsidRPr="00CB1763">
              <w:rPr>
                <w:rFonts w:eastAsiaTheme="minorEastAsia"/>
                <w:noProof/>
                <w:lang w:val="fr-CA" w:eastAsia="en-CA"/>
              </w:rPr>
              <w:t xml:space="preserve">actuel </w:t>
            </w:r>
            <w:r w:rsidR="00537408" w:rsidRPr="00CB1763">
              <w:rPr>
                <w:rFonts w:eastAsiaTheme="minorEastAsia"/>
                <w:noProof/>
                <w:lang w:val="fr-CA" w:eastAsia="en-CA"/>
              </w:rPr>
              <w:t xml:space="preserve">des catégories de </w:t>
            </w:r>
            <w:r w:rsidR="00537408" w:rsidRPr="00CB1763">
              <w:rPr>
                <w:rStyle w:val="Hyperlink"/>
                <w:rFonts w:eastAsia="Times New Roman"/>
                <w:noProof/>
                <w:lang w:val="fr-CA"/>
              </w:rPr>
              <w:t>sport</w:t>
            </w:r>
            <w:r w:rsidR="00C11769" w:rsidRPr="00CB1763">
              <w:rPr>
                <w:rStyle w:val="Hyperlink"/>
                <w:rFonts w:eastAsia="Times New Roman"/>
                <w:noProof/>
                <w:lang w:val="fr-CA"/>
              </w:rPr>
              <w:t xml:space="preserve"> (</w:t>
            </w:r>
            <w:r w:rsidR="00537408" w:rsidRPr="00CB1763">
              <w:rPr>
                <w:rStyle w:val="Hyperlink"/>
                <w:rFonts w:eastAsia="Times New Roman"/>
                <w:noProof/>
                <w:lang w:val="fr-CA"/>
              </w:rPr>
              <w:t>Norme internationale sur l’évaluation des athlètes,</w:t>
            </w:r>
            <w:r w:rsidR="00C11769" w:rsidRPr="00CB1763">
              <w:rPr>
                <w:rStyle w:val="Hyperlink"/>
                <w:rFonts w:eastAsia="Times New Roman"/>
                <w:noProof/>
                <w:lang w:val="fr-CA"/>
              </w:rPr>
              <w:t xml:space="preserve"> Section 3)</w:t>
            </w:r>
            <w:r w:rsidR="00C11769" w:rsidRPr="00CB1763">
              <w:rPr>
                <w:noProof/>
                <w:webHidden/>
                <w:lang w:val="fr-CA"/>
              </w:rPr>
              <w:tab/>
            </w:r>
            <w:r w:rsidR="00D00445" w:rsidRPr="00CB1763">
              <w:rPr>
                <w:noProof/>
                <w:webHidden/>
                <w:lang w:val="fr-CA"/>
              </w:rPr>
              <w:tab/>
            </w:r>
            <w:r w:rsidR="00D00445" w:rsidRPr="00CB1763">
              <w:rPr>
                <w:noProof/>
                <w:webHidden/>
                <w:lang w:val="fr-CA"/>
              </w:rPr>
              <w:tab/>
            </w:r>
            <w:r w:rsidR="00D00445" w:rsidRPr="00CB1763">
              <w:rPr>
                <w:noProof/>
                <w:webHidden/>
                <w:lang w:val="fr-CA"/>
              </w:rPr>
              <w:tab/>
            </w:r>
            <w:r w:rsidRPr="00CB1763">
              <w:rPr>
                <w:noProof/>
                <w:webHidden/>
                <w:lang w:val="fr-CA"/>
              </w:rPr>
              <w:fldChar w:fldCharType="begin"/>
            </w:r>
            <w:r w:rsidR="00C11769" w:rsidRPr="00CB1763">
              <w:rPr>
                <w:noProof/>
                <w:webHidden/>
                <w:lang w:val="fr-CA"/>
              </w:rPr>
              <w:instrText xml:space="preserve"> PAGEREF _Toc368318353 \h </w:instrText>
            </w:r>
            <w:r w:rsidRPr="00CB1763">
              <w:rPr>
                <w:noProof/>
                <w:webHidden/>
                <w:lang w:val="fr-CA"/>
              </w:rPr>
            </w:r>
            <w:r w:rsidRPr="00CB1763">
              <w:rPr>
                <w:noProof/>
                <w:webHidden/>
                <w:lang w:val="fr-CA"/>
              </w:rPr>
              <w:fldChar w:fldCharType="separate"/>
            </w:r>
            <w:r w:rsidR="00293C96" w:rsidRPr="00CB1763">
              <w:rPr>
                <w:noProof/>
                <w:webHidden/>
                <w:lang w:val="fr-CA"/>
              </w:rPr>
              <w:t>1</w:t>
            </w:r>
            <w:r w:rsidRPr="00CB1763">
              <w:rPr>
                <w:noProof/>
                <w:webHidden/>
                <w:lang w:val="fr-CA"/>
              </w:rPr>
              <w:fldChar w:fldCharType="end"/>
            </w:r>
          </w:hyperlink>
          <w:r w:rsidR="007A5DFE">
            <w:rPr>
              <w:noProof/>
              <w:lang w:val="fr-CA"/>
            </w:rPr>
            <w:t>9</w:t>
          </w:r>
        </w:p>
        <w:p w:rsidR="00C11769" w:rsidRPr="00CB1763" w:rsidRDefault="00487409">
          <w:pPr>
            <w:pStyle w:val="TOC2"/>
            <w:tabs>
              <w:tab w:val="left" w:pos="660"/>
              <w:tab w:val="right" w:leader="dot" w:pos="9350"/>
            </w:tabs>
            <w:rPr>
              <w:rFonts w:eastAsiaTheme="minorEastAsia"/>
              <w:noProof/>
              <w:lang w:val="fr-CA" w:eastAsia="en-CA"/>
            </w:rPr>
          </w:pPr>
          <w:hyperlink w:anchor="_Toc368318354" w:history="1">
            <w:r w:rsidR="00C11769" w:rsidRPr="00CB1763">
              <w:rPr>
                <w:rStyle w:val="Hyperlink"/>
                <w:rFonts w:eastAsia="Times New Roman"/>
                <w:noProof/>
                <w:lang w:val="fr-CA"/>
              </w:rPr>
              <w:t>T.</w:t>
            </w:r>
            <w:r w:rsidR="00C11769" w:rsidRPr="00CB1763">
              <w:rPr>
                <w:rFonts w:eastAsiaTheme="minorEastAsia"/>
                <w:noProof/>
                <w:lang w:val="fr-CA" w:eastAsia="en-CA"/>
              </w:rPr>
              <w:tab/>
            </w:r>
            <w:r w:rsidR="00537408" w:rsidRPr="00CB1763">
              <w:rPr>
                <w:rFonts w:eastAsiaTheme="minorEastAsia"/>
                <w:noProof/>
                <w:lang w:val="fr-CA" w:eastAsia="en-CA"/>
              </w:rPr>
              <w:t xml:space="preserve">Tâches </w:t>
            </w:r>
            <w:r w:rsidR="00537408" w:rsidRPr="00CB1763">
              <w:rPr>
                <w:rStyle w:val="Hyperlink"/>
                <w:rFonts w:eastAsia="Times New Roman"/>
                <w:noProof/>
                <w:lang w:val="fr-CA"/>
              </w:rPr>
              <w:t>précompétition</w:t>
            </w:r>
            <w:r w:rsidR="00C11769" w:rsidRPr="00CB1763">
              <w:rPr>
                <w:rStyle w:val="Hyperlink"/>
                <w:rFonts w:eastAsia="Times New Roman"/>
                <w:noProof/>
                <w:lang w:val="fr-CA"/>
              </w:rPr>
              <w:t xml:space="preserve"> (</w:t>
            </w:r>
            <w:r w:rsidR="00537408" w:rsidRPr="00CB1763">
              <w:rPr>
                <w:rStyle w:val="Hyperlink"/>
                <w:rFonts w:eastAsia="Times New Roman"/>
                <w:noProof/>
                <w:lang w:val="fr-CA"/>
              </w:rPr>
              <w:t>Norme internationale sur l’évaluation des athlètes</w:t>
            </w:r>
            <w:r w:rsidR="00C11769" w:rsidRPr="00CB1763">
              <w:rPr>
                <w:rStyle w:val="Hyperlink"/>
                <w:rFonts w:eastAsia="Times New Roman"/>
                <w:noProof/>
                <w:lang w:val="fr-CA"/>
              </w:rPr>
              <w:t>, Section 5)</w:t>
            </w:r>
            <w:r w:rsidR="00C11769" w:rsidRPr="00CB1763">
              <w:rPr>
                <w:noProof/>
                <w:webHidden/>
                <w:lang w:val="fr-CA"/>
              </w:rPr>
              <w:tab/>
            </w:r>
          </w:hyperlink>
          <w:r w:rsidR="007A5DFE">
            <w:rPr>
              <w:noProof/>
              <w:lang w:val="fr-CA"/>
            </w:rPr>
            <w:t>20</w:t>
          </w:r>
        </w:p>
        <w:p w:rsidR="00C11769" w:rsidRPr="00CB1763" w:rsidRDefault="00487409">
          <w:pPr>
            <w:pStyle w:val="TOC2"/>
            <w:tabs>
              <w:tab w:val="left" w:pos="660"/>
              <w:tab w:val="right" w:leader="dot" w:pos="9350"/>
            </w:tabs>
            <w:rPr>
              <w:rFonts w:eastAsiaTheme="minorEastAsia"/>
              <w:noProof/>
              <w:lang w:val="fr-CA" w:eastAsia="en-CA"/>
            </w:rPr>
          </w:pPr>
          <w:hyperlink w:anchor="_Toc368318355" w:history="1">
            <w:r w:rsidR="00C11769" w:rsidRPr="00CB1763">
              <w:rPr>
                <w:rStyle w:val="Hyperlink"/>
                <w:rFonts w:eastAsia="Times New Roman"/>
                <w:noProof/>
                <w:lang w:val="fr-CA"/>
              </w:rPr>
              <w:t>U.</w:t>
            </w:r>
            <w:r w:rsidR="00C11769" w:rsidRPr="00CB1763">
              <w:rPr>
                <w:rFonts w:eastAsiaTheme="minorEastAsia"/>
                <w:noProof/>
                <w:lang w:val="fr-CA" w:eastAsia="en-CA"/>
              </w:rPr>
              <w:tab/>
            </w:r>
            <w:r w:rsidR="00537408" w:rsidRPr="00CB1763">
              <w:rPr>
                <w:rStyle w:val="Hyperlink"/>
                <w:rFonts w:eastAsia="Times New Roman"/>
                <w:noProof/>
                <w:lang w:val="fr-CA"/>
              </w:rPr>
              <w:t>Pré</w:t>
            </w:r>
            <w:r w:rsidR="00C11769" w:rsidRPr="00CB1763">
              <w:rPr>
                <w:rStyle w:val="Hyperlink"/>
                <w:rFonts w:eastAsia="Times New Roman"/>
                <w:noProof/>
                <w:lang w:val="fr-CA"/>
              </w:rPr>
              <w:t>sentation</w:t>
            </w:r>
            <w:r w:rsidR="00537408" w:rsidRPr="00CB1763">
              <w:rPr>
                <w:rStyle w:val="Hyperlink"/>
                <w:rFonts w:eastAsia="Times New Roman"/>
                <w:noProof/>
                <w:lang w:val="fr-CA"/>
              </w:rPr>
              <w:t xml:space="preserve"> des athlètes</w:t>
            </w:r>
            <w:r w:rsidR="00C11769" w:rsidRPr="00CB1763">
              <w:rPr>
                <w:rStyle w:val="Hyperlink"/>
                <w:rFonts w:eastAsia="Times New Roman"/>
                <w:noProof/>
                <w:lang w:val="fr-CA"/>
              </w:rPr>
              <w:t xml:space="preserve"> (</w:t>
            </w:r>
            <w:r w:rsidR="00537408" w:rsidRPr="00CB1763">
              <w:rPr>
                <w:rStyle w:val="Hyperlink"/>
                <w:rFonts w:eastAsia="Times New Roman"/>
                <w:noProof/>
                <w:lang w:val="fr-CA"/>
              </w:rPr>
              <w:t>Norme internationale sur l’évaluation des athlètes,</w:t>
            </w:r>
            <w:r w:rsidR="00C11769" w:rsidRPr="00CB1763">
              <w:rPr>
                <w:rStyle w:val="Hyperlink"/>
                <w:rFonts w:eastAsia="Times New Roman"/>
                <w:noProof/>
                <w:lang w:val="fr-CA"/>
              </w:rPr>
              <w:t xml:space="preserve"> Section 6)</w:t>
            </w:r>
            <w:r w:rsidR="00C11769" w:rsidRPr="00CB1763">
              <w:rPr>
                <w:noProof/>
                <w:webHidden/>
                <w:lang w:val="fr-CA"/>
              </w:rPr>
              <w:tab/>
            </w:r>
          </w:hyperlink>
          <w:r w:rsidR="007A5DFE">
            <w:rPr>
              <w:noProof/>
              <w:lang w:val="fr-CA"/>
            </w:rPr>
            <w:t>20</w:t>
          </w:r>
        </w:p>
        <w:p w:rsidR="00C11769" w:rsidRPr="00CB1763" w:rsidRDefault="00487409">
          <w:pPr>
            <w:pStyle w:val="TOC2"/>
            <w:tabs>
              <w:tab w:val="left" w:pos="660"/>
              <w:tab w:val="right" w:leader="dot" w:pos="9350"/>
            </w:tabs>
            <w:rPr>
              <w:rFonts w:eastAsiaTheme="minorEastAsia"/>
              <w:noProof/>
              <w:lang w:val="fr-CA" w:eastAsia="en-CA"/>
            </w:rPr>
          </w:pPr>
          <w:hyperlink w:anchor="_Toc368318356" w:history="1">
            <w:r w:rsidR="00C11769" w:rsidRPr="00CB1763">
              <w:rPr>
                <w:rStyle w:val="Hyperlink"/>
                <w:rFonts w:eastAsia="Times New Roman"/>
                <w:noProof/>
                <w:lang w:val="fr-CA"/>
              </w:rPr>
              <w:t>V.</w:t>
            </w:r>
            <w:r w:rsidR="00C11769" w:rsidRPr="00CB1763">
              <w:rPr>
                <w:rFonts w:eastAsiaTheme="minorEastAsia"/>
                <w:noProof/>
                <w:lang w:val="fr-CA" w:eastAsia="en-CA"/>
              </w:rPr>
              <w:tab/>
            </w:r>
            <w:r w:rsidR="00537408" w:rsidRPr="00CB1763">
              <w:rPr>
                <w:rFonts w:eastAsiaTheme="minorEastAsia"/>
                <w:noProof/>
                <w:lang w:val="fr-CA" w:eastAsia="en-CA"/>
              </w:rPr>
              <w:t xml:space="preserve">Évaluation des </w:t>
            </w:r>
            <w:r w:rsidR="00537408" w:rsidRPr="00CB1763">
              <w:rPr>
                <w:rStyle w:val="Hyperlink"/>
                <w:rFonts w:eastAsia="Times New Roman"/>
                <w:noProof/>
                <w:lang w:val="fr-CA"/>
              </w:rPr>
              <w:t>athlè</w:t>
            </w:r>
            <w:r w:rsidR="00C11769" w:rsidRPr="00CB1763">
              <w:rPr>
                <w:rStyle w:val="Hyperlink"/>
                <w:rFonts w:eastAsia="Times New Roman"/>
                <w:noProof/>
                <w:lang w:val="fr-CA"/>
              </w:rPr>
              <w:t>te</w:t>
            </w:r>
            <w:r w:rsidR="00537408" w:rsidRPr="00CB1763">
              <w:rPr>
                <w:rStyle w:val="Hyperlink"/>
                <w:rFonts w:eastAsia="Times New Roman"/>
                <w:noProof/>
                <w:lang w:val="fr-CA"/>
              </w:rPr>
              <w:t>s</w:t>
            </w:r>
            <w:r w:rsidR="00C11769" w:rsidRPr="00CB1763">
              <w:rPr>
                <w:rStyle w:val="Hyperlink"/>
                <w:rFonts w:eastAsia="Times New Roman"/>
                <w:noProof/>
                <w:lang w:val="fr-CA"/>
              </w:rPr>
              <w:t xml:space="preserve"> (</w:t>
            </w:r>
            <w:r w:rsidR="00537408" w:rsidRPr="00CB1763">
              <w:rPr>
                <w:rStyle w:val="Hyperlink"/>
                <w:rFonts w:eastAsia="Times New Roman"/>
                <w:noProof/>
                <w:lang w:val="fr-CA"/>
              </w:rPr>
              <w:t>Norme internationale sur l’évaluation des athlètes</w:t>
            </w:r>
            <w:r w:rsidR="00212D13" w:rsidRPr="00CB1763">
              <w:rPr>
                <w:rStyle w:val="Hyperlink"/>
                <w:rFonts w:eastAsia="Times New Roman"/>
                <w:noProof/>
                <w:lang w:val="fr-CA"/>
              </w:rPr>
              <w:t>, S</w:t>
            </w:r>
            <w:r w:rsidR="00C11769" w:rsidRPr="00CB1763">
              <w:rPr>
                <w:rStyle w:val="Hyperlink"/>
                <w:rFonts w:eastAsia="Times New Roman"/>
                <w:noProof/>
                <w:lang w:val="fr-CA"/>
              </w:rPr>
              <w:t>ection 7)</w:t>
            </w:r>
            <w:r w:rsidR="00C11769" w:rsidRPr="00CB1763">
              <w:rPr>
                <w:noProof/>
                <w:webHidden/>
                <w:lang w:val="fr-CA"/>
              </w:rPr>
              <w:tab/>
            </w:r>
          </w:hyperlink>
          <w:r w:rsidR="004C28E9">
            <w:rPr>
              <w:noProof/>
              <w:lang w:val="fr-CA"/>
            </w:rPr>
            <w:t>21</w:t>
          </w:r>
        </w:p>
        <w:p w:rsidR="00C11769" w:rsidRPr="00CB1763" w:rsidRDefault="00487409">
          <w:pPr>
            <w:pStyle w:val="TOC1"/>
            <w:tabs>
              <w:tab w:val="left" w:pos="660"/>
              <w:tab w:val="right" w:leader="dot" w:pos="9350"/>
            </w:tabs>
            <w:rPr>
              <w:rFonts w:eastAsiaTheme="minorEastAsia"/>
              <w:noProof/>
              <w:lang w:val="fr-CA" w:eastAsia="en-CA"/>
            </w:rPr>
          </w:pPr>
          <w:hyperlink w:anchor="_Toc368318357" w:history="1">
            <w:r w:rsidR="00C11769" w:rsidRPr="00CB1763">
              <w:rPr>
                <w:rStyle w:val="Hyperlink"/>
                <w:noProof/>
                <w:lang w:val="fr-CA"/>
              </w:rPr>
              <w:t>IV.</w:t>
            </w:r>
            <w:r w:rsidR="00C11769" w:rsidRPr="00CB1763">
              <w:rPr>
                <w:rFonts w:eastAsiaTheme="minorEastAsia"/>
                <w:noProof/>
                <w:lang w:val="fr-CA" w:eastAsia="en-CA"/>
              </w:rPr>
              <w:tab/>
            </w:r>
            <w:r w:rsidR="00537408" w:rsidRPr="00CB1763">
              <w:rPr>
                <w:rFonts w:eastAsiaTheme="minorEastAsia"/>
                <w:noProof/>
                <w:lang w:val="fr-CA" w:eastAsia="en-CA"/>
              </w:rPr>
              <w:t xml:space="preserve">Norme </w:t>
            </w:r>
            <w:r w:rsidR="00537408" w:rsidRPr="00CB1763">
              <w:rPr>
                <w:rStyle w:val="Hyperlink"/>
                <w:noProof/>
                <w:lang w:val="fr-CA"/>
              </w:rPr>
              <w:t>i</w:t>
            </w:r>
            <w:r w:rsidR="00C11769" w:rsidRPr="00CB1763">
              <w:rPr>
                <w:rStyle w:val="Hyperlink"/>
                <w:noProof/>
                <w:lang w:val="fr-CA"/>
              </w:rPr>
              <w:t>nternational</w:t>
            </w:r>
            <w:r w:rsidR="00537408" w:rsidRPr="00CB1763">
              <w:rPr>
                <w:rStyle w:val="Hyperlink"/>
                <w:noProof/>
                <w:lang w:val="fr-CA"/>
              </w:rPr>
              <w:t>e : protêts et appe</w:t>
            </w:r>
            <w:r w:rsidR="00C11769" w:rsidRPr="00CB1763">
              <w:rPr>
                <w:rStyle w:val="Hyperlink"/>
                <w:noProof/>
                <w:lang w:val="fr-CA"/>
              </w:rPr>
              <w:t>ls</w:t>
            </w:r>
            <w:r w:rsidR="00C11769" w:rsidRPr="00CB1763">
              <w:rPr>
                <w:noProof/>
                <w:webHidden/>
                <w:lang w:val="fr-CA"/>
              </w:rPr>
              <w:tab/>
            </w:r>
            <w:r w:rsidRPr="00CB1763">
              <w:rPr>
                <w:noProof/>
                <w:webHidden/>
                <w:lang w:val="fr-CA"/>
              </w:rPr>
              <w:fldChar w:fldCharType="begin"/>
            </w:r>
            <w:r w:rsidR="00C11769" w:rsidRPr="00CB1763">
              <w:rPr>
                <w:noProof/>
                <w:webHidden/>
                <w:lang w:val="fr-CA"/>
              </w:rPr>
              <w:instrText xml:space="preserve"> PAGEREF _Toc368318357 \h </w:instrText>
            </w:r>
            <w:r w:rsidRPr="00CB1763">
              <w:rPr>
                <w:noProof/>
                <w:webHidden/>
                <w:lang w:val="fr-CA"/>
              </w:rPr>
            </w:r>
            <w:r w:rsidRPr="00CB1763">
              <w:rPr>
                <w:noProof/>
                <w:webHidden/>
                <w:lang w:val="fr-CA"/>
              </w:rPr>
              <w:fldChar w:fldCharType="separate"/>
            </w:r>
            <w:r w:rsidR="00293C96" w:rsidRPr="00CB1763">
              <w:rPr>
                <w:noProof/>
                <w:webHidden/>
                <w:lang w:val="fr-CA"/>
              </w:rPr>
              <w:t>2</w:t>
            </w:r>
            <w:r w:rsidRPr="00CB1763">
              <w:rPr>
                <w:noProof/>
                <w:webHidden/>
                <w:lang w:val="fr-CA"/>
              </w:rPr>
              <w:fldChar w:fldCharType="end"/>
            </w:r>
          </w:hyperlink>
          <w:r w:rsidR="004C28E9">
            <w:rPr>
              <w:noProof/>
              <w:lang w:val="fr-CA"/>
            </w:rPr>
            <w:t>2</w:t>
          </w:r>
        </w:p>
        <w:p w:rsidR="00C11769" w:rsidRPr="00CB1763" w:rsidRDefault="00487409">
          <w:pPr>
            <w:pStyle w:val="TOC2"/>
            <w:tabs>
              <w:tab w:val="left" w:pos="880"/>
              <w:tab w:val="right" w:leader="dot" w:pos="9350"/>
            </w:tabs>
            <w:rPr>
              <w:rFonts w:eastAsiaTheme="minorEastAsia"/>
              <w:noProof/>
              <w:lang w:val="fr-CA" w:eastAsia="en-CA"/>
            </w:rPr>
          </w:pPr>
          <w:hyperlink w:anchor="_Toc368318358" w:history="1">
            <w:r w:rsidR="00C11769" w:rsidRPr="00CB1763">
              <w:rPr>
                <w:rStyle w:val="Hyperlink"/>
                <w:noProof/>
                <w:lang w:val="fr-CA"/>
              </w:rPr>
              <w:t>W.</w:t>
            </w:r>
            <w:r w:rsidR="00537408" w:rsidRPr="00CB1763">
              <w:rPr>
                <w:rFonts w:eastAsiaTheme="minorEastAsia"/>
                <w:noProof/>
                <w:lang w:val="fr-CA" w:eastAsia="en-CA"/>
              </w:rPr>
              <w:t xml:space="preserve">    </w:t>
            </w:r>
            <w:r w:rsidR="00C11769" w:rsidRPr="00CB1763">
              <w:rPr>
                <w:rStyle w:val="Hyperlink"/>
                <w:noProof/>
                <w:lang w:val="fr-CA"/>
              </w:rPr>
              <w:t>Comment</w:t>
            </w:r>
            <w:r w:rsidR="00537408" w:rsidRPr="00CB1763">
              <w:rPr>
                <w:rStyle w:val="Hyperlink"/>
                <w:noProof/>
                <w:lang w:val="fr-CA"/>
              </w:rPr>
              <w:t>aire</w:t>
            </w:r>
            <w:r w:rsidR="00C11769" w:rsidRPr="00CB1763">
              <w:rPr>
                <w:rStyle w:val="Hyperlink"/>
                <w:noProof/>
                <w:lang w:val="fr-CA"/>
              </w:rPr>
              <w:t>s</w:t>
            </w:r>
            <w:r w:rsidR="00537408" w:rsidRPr="00CB1763">
              <w:rPr>
                <w:rStyle w:val="Hyperlink"/>
                <w:noProof/>
                <w:lang w:val="fr-CA"/>
              </w:rPr>
              <w:t xml:space="preserve"> généraux</w:t>
            </w:r>
            <w:r w:rsidR="00C11769" w:rsidRPr="00CB1763">
              <w:rPr>
                <w:noProof/>
                <w:webHidden/>
                <w:lang w:val="fr-CA"/>
              </w:rPr>
              <w:tab/>
            </w:r>
            <w:r w:rsidRPr="00CB1763">
              <w:rPr>
                <w:noProof/>
                <w:webHidden/>
                <w:lang w:val="fr-CA"/>
              </w:rPr>
              <w:fldChar w:fldCharType="begin"/>
            </w:r>
            <w:r w:rsidR="00C11769" w:rsidRPr="00CB1763">
              <w:rPr>
                <w:noProof/>
                <w:webHidden/>
                <w:lang w:val="fr-CA"/>
              </w:rPr>
              <w:instrText xml:space="preserve"> PAGEREF _Toc368318358 \h </w:instrText>
            </w:r>
            <w:r w:rsidRPr="00CB1763">
              <w:rPr>
                <w:noProof/>
                <w:webHidden/>
                <w:lang w:val="fr-CA"/>
              </w:rPr>
            </w:r>
            <w:r w:rsidRPr="00CB1763">
              <w:rPr>
                <w:noProof/>
                <w:webHidden/>
                <w:lang w:val="fr-CA"/>
              </w:rPr>
              <w:fldChar w:fldCharType="separate"/>
            </w:r>
            <w:r w:rsidR="00293C96" w:rsidRPr="00CB1763">
              <w:rPr>
                <w:noProof/>
                <w:webHidden/>
                <w:lang w:val="fr-CA"/>
              </w:rPr>
              <w:t>2</w:t>
            </w:r>
            <w:r w:rsidRPr="00CB1763">
              <w:rPr>
                <w:noProof/>
                <w:webHidden/>
                <w:lang w:val="fr-CA"/>
              </w:rPr>
              <w:fldChar w:fldCharType="end"/>
            </w:r>
          </w:hyperlink>
          <w:r w:rsidR="004C28E9">
            <w:rPr>
              <w:noProof/>
              <w:lang w:val="fr-CA"/>
            </w:rPr>
            <w:t>2</w:t>
          </w:r>
        </w:p>
        <w:p w:rsidR="00C11769" w:rsidRPr="00CB1763" w:rsidRDefault="00487409">
          <w:pPr>
            <w:pStyle w:val="TOC2"/>
            <w:tabs>
              <w:tab w:val="left" w:pos="660"/>
              <w:tab w:val="right" w:leader="dot" w:pos="9350"/>
            </w:tabs>
            <w:rPr>
              <w:rFonts w:eastAsiaTheme="minorEastAsia"/>
              <w:noProof/>
              <w:lang w:val="fr-CA" w:eastAsia="en-CA"/>
            </w:rPr>
          </w:pPr>
          <w:hyperlink w:anchor="_Toc368318359" w:history="1">
            <w:r w:rsidR="00C11769" w:rsidRPr="00CB1763">
              <w:rPr>
                <w:rStyle w:val="Hyperlink"/>
                <w:noProof/>
                <w:lang w:val="fr-CA"/>
              </w:rPr>
              <w:t>X.</w:t>
            </w:r>
            <w:r w:rsidR="00C11769" w:rsidRPr="00CB1763">
              <w:rPr>
                <w:rFonts w:eastAsiaTheme="minorEastAsia"/>
                <w:noProof/>
                <w:lang w:val="fr-CA" w:eastAsia="en-CA"/>
              </w:rPr>
              <w:tab/>
            </w:r>
            <w:r w:rsidR="00F575BB" w:rsidRPr="00CB1763">
              <w:rPr>
                <w:rStyle w:val="Hyperlink"/>
                <w:noProof/>
                <w:lang w:val="fr-CA"/>
              </w:rPr>
              <w:t>Protê</w:t>
            </w:r>
            <w:r w:rsidR="00C11769" w:rsidRPr="00CB1763">
              <w:rPr>
                <w:rStyle w:val="Hyperlink"/>
                <w:noProof/>
                <w:lang w:val="fr-CA"/>
              </w:rPr>
              <w:t>t (</w:t>
            </w:r>
            <w:r w:rsidR="00F575BB" w:rsidRPr="00CB1763">
              <w:rPr>
                <w:rStyle w:val="Hyperlink"/>
                <w:noProof/>
                <w:lang w:val="fr-CA"/>
              </w:rPr>
              <w:t>Norme i</w:t>
            </w:r>
            <w:r w:rsidR="00C11769" w:rsidRPr="00CB1763">
              <w:rPr>
                <w:rStyle w:val="Hyperlink"/>
                <w:noProof/>
                <w:lang w:val="fr-CA"/>
              </w:rPr>
              <w:t>nternational</w:t>
            </w:r>
            <w:r w:rsidR="00F575BB" w:rsidRPr="00CB1763">
              <w:rPr>
                <w:rStyle w:val="Hyperlink"/>
                <w:noProof/>
                <w:lang w:val="fr-CA"/>
              </w:rPr>
              <w:t>e : protêt</w:t>
            </w:r>
            <w:r w:rsidR="00316396" w:rsidRPr="00CB1763">
              <w:rPr>
                <w:rStyle w:val="Hyperlink"/>
                <w:noProof/>
                <w:lang w:val="fr-CA"/>
              </w:rPr>
              <w:t>s</w:t>
            </w:r>
            <w:r w:rsidR="00F575BB" w:rsidRPr="00CB1763">
              <w:rPr>
                <w:rStyle w:val="Hyperlink"/>
                <w:noProof/>
                <w:lang w:val="fr-CA"/>
              </w:rPr>
              <w:t xml:space="preserve"> et appe</w:t>
            </w:r>
            <w:r w:rsidR="00C11769" w:rsidRPr="00CB1763">
              <w:rPr>
                <w:rStyle w:val="Hyperlink"/>
                <w:noProof/>
                <w:lang w:val="fr-CA"/>
              </w:rPr>
              <w:t>ls</w:t>
            </w:r>
            <w:r w:rsidR="00F575BB" w:rsidRPr="00CB1763">
              <w:rPr>
                <w:rStyle w:val="Hyperlink"/>
                <w:noProof/>
                <w:lang w:val="fr-CA"/>
              </w:rPr>
              <w:t>,</w:t>
            </w:r>
            <w:r w:rsidR="00C11769" w:rsidRPr="00CB1763">
              <w:rPr>
                <w:rStyle w:val="Hyperlink"/>
                <w:noProof/>
                <w:lang w:val="fr-CA"/>
              </w:rPr>
              <w:t xml:space="preserve"> Section 1)</w:t>
            </w:r>
            <w:r w:rsidR="00C11769" w:rsidRPr="00CB1763">
              <w:rPr>
                <w:noProof/>
                <w:webHidden/>
                <w:lang w:val="fr-CA"/>
              </w:rPr>
              <w:tab/>
            </w:r>
            <w:r w:rsidRPr="00CB1763">
              <w:rPr>
                <w:noProof/>
                <w:webHidden/>
                <w:lang w:val="fr-CA"/>
              </w:rPr>
              <w:fldChar w:fldCharType="begin"/>
            </w:r>
            <w:r w:rsidR="00C11769" w:rsidRPr="00CB1763">
              <w:rPr>
                <w:noProof/>
                <w:webHidden/>
                <w:lang w:val="fr-CA"/>
              </w:rPr>
              <w:instrText xml:space="preserve"> PAGEREF _Toc368318359 \h </w:instrText>
            </w:r>
            <w:r w:rsidRPr="00CB1763">
              <w:rPr>
                <w:noProof/>
                <w:webHidden/>
                <w:lang w:val="fr-CA"/>
              </w:rPr>
            </w:r>
            <w:r w:rsidRPr="00CB1763">
              <w:rPr>
                <w:noProof/>
                <w:webHidden/>
                <w:lang w:val="fr-CA"/>
              </w:rPr>
              <w:fldChar w:fldCharType="separate"/>
            </w:r>
            <w:r w:rsidR="00293C96" w:rsidRPr="00CB1763">
              <w:rPr>
                <w:noProof/>
                <w:webHidden/>
                <w:lang w:val="fr-CA"/>
              </w:rPr>
              <w:t>2</w:t>
            </w:r>
            <w:r w:rsidRPr="00CB1763">
              <w:rPr>
                <w:noProof/>
                <w:webHidden/>
                <w:lang w:val="fr-CA"/>
              </w:rPr>
              <w:fldChar w:fldCharType="end"/>
            </w:r>
          </w:hyperlink>
          <w:r w:rsidR="004C28E9">
            <w:rPr>
              <w:noProof/>
              <w:lang w:val="fr-CA"/>
            </w:rPr>
            <w:t>2</w:t>
          </w:r>
        </w:p>
        <w:p w:rsidR="00C11769" w:rsidRPr="00CB1763" w:rsidRDefault="00487409">
          <w:pPr>
            <w:pStyle w:val="TOC2"/>
            <w:tabs>
              <w:tab w:val="left" w:pos="660"/>
              <w:tab w:val="right" w:leader="dot" w:pos="9350"/>
            </w:tabs>
            <w:rPr>
              <w:rFonts w:eastAsiaTheme="minorEastAsia"/>
              <w:noProof/>
              <w:lang w:val="fr-CA" w:eastAsia="en-CA"/>
            </w:rPr>
          </w:pPr>
          <w:hyperlink w:anchor="_Toc368318360" w:history="1">
            <w:r w:rsidR="00C11769" w:rsidRPr="00CB1763">
              <w:rPr>
                <w:rStyle w:val="Hyperlink"/>
                <w:noProof/>
                <w:lang w:val="fr-CA"/>
              </w:rPr>
              <w:t>Y.</w:t>
            </w:r>
            <w:r w:rsidR="00C11769" w:rsidRPr="00CB1763">
              <w:rPr>
                <w:rFonts w:eastAsiaTheme="minorEastAsia"/>
                <w:noProof/>
                <w:lang w:val="fr-CA" w:eastAsia="en-CA"/>
              </w:rPr>
              <w:tab/>
            </w:r>
            <w:r w:rsidR="00316396" w:rsidRPr="00CB1763">
              <w:rPr>
                <w:rStyle w:val="Hyperlink"/>
                <w:noProof/>
                <w:lang w:val="fr-CA"/>
              </w:rPr>
              <w:t>Princip</w:t>
            </w:r>
            <w:r w:rsidR="00C11769" w:rsidRPr="00CB1763">
              <w:rPr>
                <w:rStyle w:val="Hyperlink"/>
                <w:noProof/>
                <w:lang w:val="fr-CA"/>
              </w:rPr>
              <w:t>es</w:t>
            </w:r>
            <w:r w:rsidR="00316396" w:rsidRPr="00CB1763">
              <w:rPr>
                <w:rStyle w:val="Hyperlink"/>
                <w:noProof/>
                <w:lang w:val="fr-CA"/>
              </w:rPr>
              <w:t xml:space="preserve"> généraux concernant les protêts</w:t>
            </w:r>
            <w:r w:rsidR="00C11769" w:rsidRPr="00CB1763">
              <w:rPr>
                <w:rStyle w:val="Hyperlink"/>
                <w:noProof/>
                <w:lang w:val="fr-CA"/>
              </w:rPr>
              <w:t xml:space="preserve"> (</w:t>
            </w:r>
            <w:r w:rsidR="00B00AF0" w:rsidRPr="00CB1763">
              <w:rPr>
                <w:rStyle w:val="Hyperlink"/>
                <w:noProof/>
                <w:lang w:val="fr-CA"/>
              </w:rPr>
              <w:t xml:space="preserve">Norme internationale : </w:t>
            </w:r>
            <w:r w:rsidR="00316396" w:rsidRPr="00CB1763">
              <w:rPr>
                <w:rStyle w:val="Hyperlink"/>
                <w:noProof/>
                <w:lang w:val="fr-CA"/>
              </w:rPr>
              <w:t>protêts et appe</w:t>
            </w:r>
            <w:r w:rsidR="00C11769" w:rsidRPr="00CB1763">
              <w:rPr>
                <w:rStyle w:val="Hyperlink"/>
                <w:noProof/>
                <w:lang w:val="fr-CA"/>
              </w:rPr>
              <w:t>ls</w:t>
            </w:r>
            <w:r w:rsidR="00316396" w:rsidRPr="00CB1763">
              <w:rPr>
                <w:rStyle w:val="Hyperlink"/>
                <w:noProof/>
                <w:lang w:val="fr-CA"/>
              </w:rPr>
              <w:t>,</w:t>
            </w:r>
            <w:r w:rsidR="00C11769" w:rsidRPr="00CB1763">
              <w:rPr>
                <w:rStyle w:val="Hyperlink"/>
                <w:noProof/>
                <w:lang w:val="fr-CA"/>
              </w:rPr>
              <w:t xml:space="preserve"> Section 2)</w:t>
            </w:r>
            <w:r w:rsidR="00C11769" w:rsidRPr="00CB1763">
              <w:rPr>
                <w:noProof/>
                <w:webHidden/>
                <w:lang w:val="fr-CA"/>
              </w:rPr>
              <w:tab/>
            </w:r>
            <w:r w:rsidRPr="00CB1763">
              <w:rPr>
                <w:noProof/>
                <w:webHidden/>
                <w:lang w:val="fr-CA"/>
              </w:rPr>
              <w:fldChar w:fldCharType="begin"/>
            </w:r>
            <w:r w:rsidR="00C11769" w:rsidRPr="00CB1763">
              <w:rPr>
                <w:noProof/>
                <w:webHidden/>
                <w:lang w:val="fr-CA"/>
              </w:rPr>
              <w:instrText xml:space="preserve"> PAGEREF _Toc368318360 \h </w:instrText>
            </w:r>
            <w:r w:rsidRPr="00CB1763">
              <w:rPr>
                <w:noProof/>
                <w:webHidden/>
                <w:lang w:val="fr-CA"/>
              </w:rPr>
            </w:r>
            <w:r w:rsidRPr="00CB1763">
              <w:rPr>
                <w:noProof/>
                <w:webHidden/>
                <w:lang w:val="fr-CA"/>
              </w:rPr>
              <w:fldChar w:fldCharType="separate"/>
            </w:r>
            <w:r w:rsidR="00293C96" w:rsidRPr="00CB1763">
              <w:rPr>
                <w:noProof/>
                <w:webHidden/>
                <w:lang w:val="fr-CA"/>
              </w:rPr>
              <w:t>2</w:t>
            </w:r>
            <w:r w:rsidRPr="00CB1763">
              <w:rPr>
                <w:noProof/>
                <w:webHidden/>
                <w:lang w:val="fr-CA"/>
              </w:rPr>
              <w:fldChar w:fldCharType="end"/>
            </w:r>
          </w:hyperlink>
          <w:r w:rsidR="004C28E9">
            <w:rPr>
              <w:noProof/>
              <w:lang w:val="fr-CA"/>
            </w:rPr>
            <w:t>2</w:t>
          </w:r>
        </w:p>
        <w:p w:rsidR="00C11769" w:rsidRPr="00CB1763" w:rsidRDefault="00487409">
          <w:pPr>
            <w:pStyle w:val="TOC2"/>
            <w:tabs>
              <w:tab w:val="left" w:pos="660"/>
              <w:tab w:val="right" w:leader="dot" w:pos="9350"/>
            </w:tabs>
            <w:rPr>
              <w:rFonts w:eastAsiaTheme="minorEastAsia"/>
              <w:noProof/>
              <w:lang w:val="fr-CA" w:eastAsia="en-CA"/>
            </w:rPr>
          </w:pPr>
          <w:hyperlink w:anchor="_Toc368318361" w:history="1">
            <w:r w:rsidR="00C11769" w:rsidRPr="00CB1763">
              <w:rPr>
                <w:rStyle w:val="Hyperlink"/>
                <w:noProof/>
                <w:lang w:val="fr-CA"/>
              </w:rPr>
              <w:t>Z.</w:t>
            </w:r>
            <w:r w:rsidR="00C11769" w:rsidRPr="00CB1763">
              <w:rPr>
                <w:rFonts w:eastAsiaTheme="minorEastAsia"/>
                <w:noProof/>
                <w:lang w:val="fr-CA" w:eastAsia="en-CA"/>
              </w:rPr>
              <w:tab/>
            </w:r>
            <w:r w:rsidR="001C7C45" w:rsidRPr="00CB1763">
              <w:rPr>
                <w:rFonts w:eastAsiaTheme="minorEastAsia"/>
                <w:noProof/>
                <w:lang w:val="fr-CA" w:eastAsia="en-CA"/>
              </w:rPr>
              <w:t>Occasions de protêt</w:t>
            </w:r>
            <w:r w:rsidR="001C7C45" w:rsidRPr="00CB1763">
              <w:rPr>
                <w:rStyle w:val="Hyperlink"/>
                <w:noProof/>
                <w:lang w:val="fr-CA"/>
              </w:rPr>
              <w:t xml:space="preserve"> (Norme : protêts et appels</w:t>
            </w:r>
            <w:r w:rsidR="00C11769" w:rsidRPr="00CB1763">
              <w:rPr>
                <w:rStyle w:val="Hyperlink"/>
                <w:noProof/>
                <w:lang w:val="fr-CA"/>
              </w:rPr>
              <w:t>, Section 4)</w:t>
            </w:r>
            <w:r w:rsidR="00C11769" w:rsidRPr="00CB1763">
              <w:rPr>
                <w:noProof/>
                <w:webHidden/>
                <w:lang w:val="fr-CA"/>
              </w:rPr>
              <w:tab/>
            </w:r>
            <w:r w:rsidRPr="00CB1763">
              <w:rPr>
                <w:noProof/>
                <w:webHidden/>
                <w:lang w:val="fr-CA"/>
              </w:rPr>
              <w:fldChar w:fldCharType="begin"/>
            </w:r>
            <w:r w:rsidR="00C11769" w:rsidRPr="00CB1763">
              <w:rPr>
                <w:noProof/>
                <w:webHidden/>
                <w:lang w:val="fr-CA"/>
              </w:rPr>
              <w:instrText xml:space="preserve"> PAGEREF _Toc368318361 \h </w:instrText>
            </w:r>
            <w:r w:rsidRPr="00CB1763">
              <w:rPr>
                <w:noProof/>
                <w:webHidden/>
                <w:lang w:val="fr-CA"/>
              </w:rPr>
            </w:r>
            <w:r w:rsidRPr="00CB1763">
              <w:rPr>
                <w:noProof/>
                <w:webHidden/>
                <w:lang w:val="fr-CA"/>
              </w:rPr>
              <w:fldChar w:fldCharType="separate"/>
            </w:r>
            <w:r w:rsidR="00293C96" w:rsidRPr="00CB1763">
              <w:rPr>
                <w:noProof/>
                <w:webHidden/>
                <w:lang w:val="fr-CA"/>
              </w:rPr>
              <w:t>2</w:t>
            </w:r>
            <w:r w:rsidRPr="00CB1763">
              <w:rPr>
                <w:noProof/>
                <w:webHidden/>
                <w:lang w:val="fr-CA"/>
              </w:rPr>
              <w:fldChar w:fldCharType="end"/>
            </w:r>
          </w:hyperlink>
          <w:r w:rsidR="004C28E9">
            <w:rPr>
              <w:noProof/>
              <w:lang w:val="fr-CA"/>
            </w:rPr>
            <w:t>3</w:t>
          </w:r>
        </w:p>
        <w:p w:rsidR="00C11769" w:rsidRPr="00CB1763" w:rsidRDefault="00487409">
          <w:pPr>
            <w:pStyle w:val="TOC2"/>
            <w:tabs>
              <w:tab w:val="left" w:pos="880"/>
              <w:tab w:val="right" w:leader="dot" w:pos="9350"/>
            </w:tabs>
            <w:rPr>
              <w:rFonts w:eastAsiaTheme="minorEastAsia"/>
              <w:noProof/>
              <w:lang w:val="fr-CA" w:eastAsia="en-CA"/>
            </w:rPr>
          </w:pPr>
          <w:hyperlink w:anchor="_Toc368318362" w:history="1">
            <w:r w:rsidR="00C11769" w:rsidRPr="00CB1763">
              <w:rPr>
                <w:rStyle w:val="Hyperlink"/>
                <w:noProof/>
                <w:lang w:val="fr-CA"/>
              </w:rPr>
              <w:t>AA.</w:t>
            </w:r>
            <w:r w:rsidR="00C11769" w:rsidRPr="00CB1763">
              <w:rPr>
                <w:rFonts w:eastAsiaTheme="minorEastAsia"/>
                <w:noProof/>
                <w:lang w:val="fr-CA" w:eastAsia="en-CA"/>
              </w:rPr>
              <w:tab/>
            </w:r>
            <w:r w:rsidR="00567FBF" w:rsidRPr="00CB1763">
              <w:rPr>
                <w:rStyle w:val="Hyperlink"/>
                <w:noProof/>
                <w:lang w:val="fr-CA"/>
              </w:rPr>
              <w:t>Procé</w:t>
            </w:r>
            <w:r w:rsidR="00C11769" w:rsidRPr="00CB1763">
              <w:rPr>
                <w:rStyle w:val="Hyperlink"/>
                <w:noProof/>
                <w:lang w:val="fr-CA"/>
              </w:rPr>
              <w:t>dures</w:t>
            </w:r>
            <w:r w:rsidR="00567FBF" w:rsidRPr="00CB1763">
              <w:rPr>
                <w:rStyle w:val="Hyperlink"/>
                <w:noProof/>
                <w:lang w:val="fr-CA"/>
              </w:rPr>
              <w:t xml:space="preserve"> régissant les protêts durant une compétition</w:t>
            </w:r>
            <w:r w:rsidR="00C11769" w:rsidRPr="00CB1763">
              <w:rPr>
                <w:noProof/>
                <w:webHidden/>
                <w:lang w:val="fr-CA"/>
              </w:rPr>
              <w:tab/>
            </w:r>
            <w:r w:rsidRPr="00CB1763">
              <w:rPr>
                <w:noProof/>
                <w:webHidden/>
                <w:lang w:val="fr-CA"/>
              </w:rPr>
              <w:fldChar w:fldCharType="begin"/>
            </w:r>
            <w:r w:rsidR="00C11769" w:rsidRPr="00CB1763">
              <w:rPr>
                <w:noProof/>
                <w:webHidden/>
                <w:lang w:val="fr-CA"/>
              </w:rPr>
              <w:instrText xml:space="preserve"> PAGEREF _Toc368318362 \h </w:instrText>
            </w:r>
            <w:r w:rsidRPr="00CB1763">
              <w:rPr>
                <w:noProof/>
                <w:webHidden/>
                <w:lang w:val="fr-CA"/>
              </w:rPr>
            </w:r>
            <w:r w:rsidRPr="00CB1763">
              <w:rPr>
                <w:noProof/>
                <w:webHidden/>
                <w:lang w:val="fr-CA"/>
              </w:rPr>
              <w:fldChar w:fldCharType="separate"/>
            </w:r>
            <w:r w:rsidR="00293C96" w:rsidRPr="00CB1763">
              <w:rPr>
                <w:noProof/>
                <w:webHidden/>
                <w:lang w:val="fr-CA"/>
              </w:rPr>
              <w:t>2</w:t>
            </w:r>
            <w:r w:rsidRPr="00CB1763">
              <w:rPr>
                <w:noProof/>
                <w:webHidden/>
                <w:lang w:val="fr-CA"/>
              </w:rPr>
              <w:fldChar w:fldCharType="end"/>
            </w:r>
          </w:hyperlink>
          <w:r w:rsidR="004C28E9">
            <w:rPr>
              <w:noProof/>
              <w:lang w:val="fr-CA"/>
            </w:rPr>
            <w:t>3</w:t>
          </w:r>
        </w:p>
        <w:p w:rsidR="00C11769" w:rsidRPr="00CB1763" w:rsidRDefault="00487409">
          <w:pPr>
            <w:pStyle w:val="TOC2"/>
            <w:tabs>
              <w:tab w:val="left" w:pos="880"/>
              <w:tab w:val="right" w:leader="dot" w:pos="9350"/>
            </w:tabs>
            <w:rPr>
              <w:rFonts w:eastAsiaTheme="minorEastAsia"/>
              <w:noProof/>
              <w:lang w:val="fr-CA" w:eastAsia="en-CA"/>
            </w:rPr>
          </w:pPr>
          <w:hyperlink w:anchor="_Toc368318363" w:history="1">
            <w:r w:rsidR="00C11769" w:rsidRPr="00CB1763">
              <w:rPr>
                <w:rStyle w:val="Hyperlink"/>
                <w:noProof/>
                <w:lang w:val="fr-CA"/>
              </w:rPr>
              <w:t>BB.</w:t>
            </w:r>
            <w:r w:rsidR="00C11769" w:rsidRPr="00CB1763">
              <w:rPr>
                <w:rFonts w:eastAsiaTheme="minorEastAsia"/>
                <w:noProof/>
                <w:lang w:val="fr-CA" w:eastAsia="en-CA"/>
              </w:rPr>
              <w:tab/>
            </w:r>
            <w:r w:rsidR="00B00AF0" w:rsidRPr="00CB1763">
              <w:rPr>
                <w:rFonts w:eastAsiaTheme="minorEastAsia"/>
                <w:noProof/>
                <w:lang w:val="fr-CA" w:eastAsia="en-CA"/>
              </w:rPr>
              <w:t>Dispositions manquantes</w:t>
            </w:r>
            <w:r w:rsidR="00C11769" w:rsidRPr="00CB1763">
              <w:rPr>
                <w:noProof/>
                <w:webHidden/>
                <w:lang w:val="fr-CA"/>
              </w:rPr>
              <w:tab/>
            </w:r>
            <w:r w:rsidRPr="00CB1763">
              <w:rPr>
                <w:noProof/>
                <w:webHidden/>
                <w:lang w:val="fr-CA"/>
              </w:rPr>
              <w:fldChar w:fldCharType="begin"/>
            </w:r>
            <w:r w:rsidR="00C11769" w:rsidRPr="00CB1763">
              <w:rPr>
                <w:noProof/>
                <w:webHidden/>
                <w:lang w:val="fr-CA"/>
              </w:rPr>
              <w:instrText xml:space="preserve"> PAGEREF _Toc368318363 \h </w:instrText>
            </w:r>
            <w:r w:rsidRPr="00CB1763">
              <w:rPr>
                <w:noProof/>
                <w:webHidden/>
                <w:lang w:val="fr-CA"/>
              </w:rPr>
            </w:r>
            <w:r w:rsidRPr="00CB1763">
              <w:rPr>
                <w:noProof/>
                <w:webHidden/>
                <w:lang w:val="fr-CA"/>
              </w:rPr>
              <w:fldChar w:fldCharType="separate"/>
            </w:r>
            <w:r w:rsidR="00293C96" w:rsidRPr="00CB1763">
              <w:rPr>
                <w:noProof/>
                <w:webHidden/>
                <w:lang w:val="fr-CA"/>
              </w:rPr>
              <w:t>2</w:t>
            </w:r>
            <w:r w:rsidRPr="00CB1763">
              <w:rPr>
                <w:noProof/>
                <w:webHidden/>
                <w:lang w:val="fr-CA"/>
              </w:rPr>
              <w:fldChar w:fldCharType="end"/>
            </w:r>
          </w:hyperlink>
          <w:r w:rsidR="004C28E9">
            <w:rPr>
              <w:noProof/>
              <w:lang w:val="fr-CA"/>
            </w:rPr>
            <w:t>4</w:t>
          </w:r>
        </w:p>
        <w:p w:rsidR="00C11769" w:rsidRPr="00CB1763" w:rsidRDefault="00487409">
          <w:pPr>
            <w:pStyle w:val="TOC2"/>
            <w:tabs>
              <w:tab w:val="left" w:pos="880"/>
              <w:tab w:val="right" w:leader="dot" w:pos="9350"/>
            </w:tabs>
            <w:rPr>
              <w:rFonts w:eastAsiaTheme="minorEastAsia"/>
              <w:noProof/>
              <w:lang w:val="fr-CA" w:eastAsia="en-CA"/>
            </w:rPr>
          </w:pPr>
          <w:hyperlink w:anchor="_Toc368318364" w:history="1">
            <w:r w:rsidR="00C11769" w:rsidRPr="00CB1763">
              <w:rPr>
                <w:rStyle w:val="Hyperlink"/>
                <w:noProof/>
                <w:lang w:val="fr-CA"/>
              </w:rPr>
              <w:t>CC.</w:t>
            </w:r>
            <w:r w:rsidR="00C11769" w:rsidRPr="00CB1763">
              <w:rPr>
                <w:rFonts w:eastAsiaTheme="minorEastAsia"/>
                <w:noProof/>
                <w:lang w:val="fr-CA" w:eastAsia="en-CA"/>
              </w:rPr>
              <w:tab/>
            </w:r>
            <w:r w:rsidR="00625C3E" w:rsidRPr="00CB1763">
              <w:rPr>
                <w:rFonts w:eastAsiaTheme="minorEastAsia"/>
                <w:noProof/>
                <w:lang w:val="fr-CA" w:eastAsia="en-CA"/>
              </w:rPr>
              <w:t>Compétence en matière d’appel</w:t>
            </w:r>
            <w:r w:rsidR="00625C3E" w:rsidRPr="00CB1763">
              <w:rPr>
                <w:rStyle w:val="Hyperlink"/>
                <w:noProof/>
                <w:lang w:val="fr-CA"/>
              </w:rPr>
              <w:t> </w:t>
            </w:r>
            <w:r w:rsidR="00C11769" w:rsidRPr="00CB1763">
              <w:rPr>
                <w:rStyle w:val="Hyperlink"/>
                <w:noProof/>
                <w:lang w:val="fr-CA"/>
              </w:rPr>
              <w:t xml:space="preserve">: </w:t>
            </w:r>
            <w:r w:rsidR="00B00AF0" w:rsidRPr="00CB1763">
              <w:rPr>
                <w:rStyle w:val="Hyperlink"/>
                <w:noProof/>
                <w:lang w:val="fr-CA"/>
              </w:rPr>
              <w:t xml:space="preserve">Norme internationale : </w:t>
            </w:r>
            <w:r w:rsidR="00625C3E" w:rsidRPr="00CB1763">
              <w:rPr>
                <w:rStyle w:val="Hyperlink"/>
                <w:noProof/>
                <w:lang w:val="fr-CA"/>
              </w:rPr>
              <w:t>protêts et appe</w:t>
            </w:r>
            <w:r w:rsidR="00C11769" w:rsidRPr="00CB1763">
              <w:rPr>
                <w:rStyle w:val="Hyperlink"/>
                <w:noProof/>
                <w:lang w:val="fr-CA"/>
              </w:rPr>
              <w:t>ls, Section 11)</w:t>
            </w:r>
            <w:r w:rsidR="00C11769" w:rsidRPr="00CB1763">
              <w:rPr>
                <w:noProof/>
                <w:webHidden/>
                <w:lang w:val="fr-CA"/>
              </w:rPr>
              <w:tab/>
            </w:r>
            <w:r w:rsidRPr="00CB1763">
              <w:rPr>
                <w:noProof/>
                <w:webHidden/>
                <w:lang w:val="fr-CA"/>
              </w:rPr>
              <w:fldChar w:fldCharType="begin"/>
            </w:r>
            <w:r w:rsidR="00C11769" w:rsidRPr="00CB1763">
              <w:rPr>
                <w:noProof/>
                <w:webHidden/>
                <w:lang w:val="fr-CA"/>
              </w:rPr>
              <w:instrText xml:space="preserve"> PAGEREF _Toc368318364 \h </w:instrText>
            </w:r>
            <w:r w:rsidRPr="00CB1763">
              <w:rPr>
                <w:noProof/>
                <w:webHidden/>
                <w:lang w:val="fr-CA"/>
              </w:rPr>
            </w:r>
            <w:r w:rsidRPr="00CB1763">
              <w:rPr>
                <w:noProof/>
                <w:webHidden/>
                <w:lang w:val="fr-CA"/>
              </w:rPr>
              <w:fldChar w:fldCharType="separate"/>
            </w:r>
            <w:r w:rsidR="00293C96" w:rsidRPr="00CB1763">
              <w:rPr>
                <w:noProof/>
                <w:webHidden/>
                <w:lang w:val="fr-CA"/>
              </w:rPr>
              <w:t>2</w:t>
            </w:r>
            <w:r w:rsidRPr="00CB1763">
              <w:rPr>
                <w:noProof/>
                <w:webHidden/>
                <w:lang w:val="fr-CA"/>
              </w:rPr>
              <w:fldChar w:fldCharType="end"/>
            </w:r>
          </w:hyperlink>
          <w:r w:rsidR="004C28E9">
            <w:rPr>
              <w:noProof/>
              <w:lang w:val="fr-CA"/>
            </w:rPr>
            <w:t>5</w:t>
          </w:r>
        </w:p>
        <w:p w:rsidR="00C11769" w:rsidRPr="00CB1763" w:rsidRDefault="00487409">
          <w:pPr>
            <w:pStyle w:val="TOC2"/>
            <w:tabs>
              <w:tab w:val="left" w:pos="880"/>
              <w:tab w:val="right" w:leader="dot" w:pos="9350"/>
            </w:tabs>
            <w:rPr>
              <w:rFonts w:eastAsiaTheme="minorEastAsia"/>
              <w:noProof/>
              <w:lang w:val="fr-CA" w:eastAsia="en-CA"/>
            </w:rPr>
          </w:pPr>
          <w:hyperlink w:anchor="_Toc368318365" w:history="1">
            <w:r w:rsidR="00C11769" w:rsidRPr="00CB1763">
              <w:rPr>
                <w:rStyle w:val="Hyperlink"/>
                <w:noProof/>
                <w:lang w:val="fr-CA"/>
              </w:rPr>
              <w:t>DD.</w:t>
            </w:r>
            <w:r w:rsidR="00C11769" w:rsidRPr="00CB1763">
              <w:rPr>
                <w:rFonts w:eastAsiaTheme="minorEastAsia"/>
                <w:noProof/>
                <w:lang w:val="fr-CA" w:eastAsia="en-CA"/>
              </w:rPr>
              <w:tab/>
            </w:r>
            <w:r w:rsidR="00136600" w:rsidRPr="00CB1763">
              <w:rPr>
                <w:rFonts w:eastAsiaTheme="minorEastAsia"/>
                <w:noProof/>
                <w:lang w:val="fr-CA" w:eastAsia="en-CA"/>
              </w:rPr>
              <w:t>Dépôt d’un appel</w:t>
            </w:r>
            <w:r w:rsidR="00C11769" w:rsidRPr="00CB1763">
              <w:rPr>
                <w:rStyle w:val="Hyperlink"/>
                <w:noProof/>
                <w:lang w:val="fr-CA"/>
              </w:rPr>
              <w:t xml:space="preserve"> (</w:t>
            </w:r>
            <w:r w:rsidR="00136600" w:rsidRPr="00CB1763">
              <w:rPr>
                <w:rStyle w:val="Hyperlink"/>
                <w:noProof/>
                <w:lang w:val="fr-CA"/>
              </w:rPr>
              <w:t>Norme sur les protêts et les appels,</w:t>
            </w:r>
            <w:r w:rsidR="00C11769" w:rsidRPr="00CB1763">
              <w:rPr>
                <w:rStyle w:val="Hyperlink"/>
                <w:noProof/>
                <w:lang w:val="fr-CA"/>
              </w:rPr>
              <w:t xml:space="preserve"> Section 12)</w:t>
            </w:r>
            <w:r w:rsidR="00C11769" w:rsidRPr="00CB1763">
              <w:rPr>
                <w:noProof/>
                <w:webHidden/>
                <w:lang w:val="fr-CA"/>
              </w:rPr>
              <w:tab/>
            </w:r>
            <w:r w:rsidRPr="00CB1763">
              <w:rPr>
                <w:noProof/>
                <w:webHidden/>
                <w:lang w:val="fr-CA"/>
              </w:rPr>
              <w:fldChar w:fldCharType="begin"/>
            </w:r>
            <w:r w:rsidR="00C11769" w:rsidRPr="00CB1763">
              <w:rPr>
                <w:noProof/>
                <w:webHidden/>
                <w:lang w:val="fr-CA"/>
              </w:rPr>
              <w:instrText xml:space="preserve"> PAGEREF _Toc368318365 \h </w:instrText>
            </w:r>
            <w:r w:rsidRPr="00CB1763">
              <w:rPr>
                <w:noProof/>
                <w:webHidden/>
                <w:lang w:val="fr-CA"/>
              </w:rPr>
            </w:r>
            <w:r w:rsidRPr="00CB1763">
              <w:rPr>
                <w:noProof/>
                <w:webHidden/>
                <w:lang w:val="fr-CA"/>
              </w:rPr>
              <w:fldChar w:fldCharType="separate"/>
            </w:r>
            <w:r w:rsidR="00293C96" w:rsidRPr="00CB1763">
              <w:rPr>
                <w:noProof/>
                <w:webHidden/>
                <w:lang w:val="fr-CA"/>
              </w:rPr>
              <w:t>2</w:t>
            </w:r>
            <w:r w:rsidRPr="00CB1763">
              <w:rPr>
                <w:noProof/>
                <w:webHidden/>
                <w:lang w:val="fr-CA"/>
              </w:rPr>
              <w:fldChar w:fldCharType="end"/>
            </w:r>
          </w:hyperlink>
          <w:r w:rsidR="004C28E9">
            <w:rPr>
              <w:noProof/>
              <w:lang w:val="fr-CA"/>
            </w:rPr>
            <w:t>5</w:t>
          </w:r>
        </w:p>
        <w:p w:rsidR="00C11769" w:rsidRPr="00CB1763" w:rsidRDefault="00487409">
          <w:pPr>
            <w:pStyle w:val="TOC1"/>
            <w:tabs>
              <w:tab w:val="left" w:pos="440"/>
              <w:tab w:val="right" w:leader="dot" w:pos="9350"/>
            </w:tabs>
            <w:rPr>
              <w:rFonts w:eastAsiaTheme="minorEastAsia"/>
              <w:noProof/>
              <w:lang w:val="fr-CA" w:eastAsia="en-CA"/>
            </w:rPr>
          </w:pPr>
          <w:hyperlink w:anchor="_Toc368318366" w:history="1">
            <w:r w:rsidR="00C11769" w:rsidRPr="00CB1763">
              <w:rPr>
                <w:rStyle w:val="Hyperlink"/>
                <w:rFonts w:eastAsia="Times New Roman"/>
                <w:noProof/>
                <w:lang w:val="fr-CA"/>
              </w:rPr>
              <w:t>V.</w:t>
            </w:r>
            <w:r w:rsidR="00C11769" w:rsidRPr="00CB1763">
              <w:rPr>
                <w:rFonts w:eastAsiaTheme="minorEastAsia"/>
                <w:noProof/>
                <w:lang w:val="fr-CA" w:eastAsia="en-CA"/>
              </w:rPr>
              <w:tab/>
            </w:r>
            <w:r w:rsidR="00B65419" w:rsidRPr="00CB1763">
              <w:rPr>
                <w:rFonts w:eastAsiaTheme="minorEastAsia"/>
                <w:noProof/>
                <w:lang w:val="fr-CA" w:eastAsia="en-CA"/>
              </w:rPr>
              <w:t xml:space="preserve">Norme </w:t>
            </w:r>
            <w:r w:rsidR="00B65419" w:rsidRPr="00CB1763">
              <w:rPr>
                <w:rStyle w:val="Hyperlink"/>
                <w:rFonts w:eastAsia="Times New Roman"/>
                <w:noProof/>
                <w:lang w:val="fr-CA"/>
              </w:rPr>
              <w:t>i</w:t>
            </w:r>
            <w:r w:rsidR="00C11769" w:rsidRPr="00CB1763">
              <w:rPr>
                <w:rStyle w:val="Hyperlink"/>
                <w:rFonts w:eastAsia="Times New Roman"/>
                <w:noProof/>
                <w:lang w:val="fr-CA"/>
              </w:rPr>
              <w:t>nternational</w:t>
            </w:r>
            <w:r w:rsidR="00B65419" w:rsidRPr="00CB1763">
              <w:rPr>
                <w:rStyle w:val="Hyperlink"/>
                <w:rFonts w:eastAsia="Times New Roman"/>
                <w:noProof/>
                <w:lang w:val="fr-CA"/>
              </w:rPr>
              <w:t xml:space="preserve">e </w:t>
            </w:r>
            <w:r w:rsidR="00670DC1" w:rsidRPr="00CB1763">
              <w:rPr>
                <w:rStyle w:val="Hyperlink"/>
                <w:rFonts w:eastAsia="Times New Roman"/>
                <w:noProof/>
                <w:lang w:val="fr-CA"/>
              </w:rPr>
              <w:t xml:space="preserve">: </w:t>
            </w:r>
            <w:r w:rsidR="00C11769" w:rsidRPr="00CB1763">
              <w:rPr>
                <w:rStyle w:val="Hyperlink"/>
                <w:rFonts w:eastAsia="Times New Roman"/>
                <w:noProof/>
                <w:lang w:val="fr-CA"/>
              </w:rPr>
              <w:t>Certification</w:t>
            </w:r>
            <w:r w:rsidR="00670DC1" w:rsidRPr="00CB1763">
              <w:rPr>
                <w:rStyle w:val="Hyperlink"/>
                <w:rFonts w:eastAsia="Times New Roman"/>
                <w:noProof/>
                <w:lang w:val="fr-CA"/>
              </w:rPr>
              <w:t xml:space="preserve"> et formation du personnel de classification</w:t>
            </w:r>
            <w:r w:rsidR="00C11769" w:rsidRPr="00CB1763">
              <w:rPr>
                <w:noProof/>
                <w:webHidden/>
                <w:lang w:val="fr-CA"/>
              </w:rPr>
              <w:tab/>
            </w:r>
            <w:r w:rsidRPr="00CB1763">
              <w:rPr>
                <w:noProof/>
                <w:webHidden/>
                <w:lang w:val="fr-CA"/>
              </w:rPr>
              <w:fldChar w:fldCharType="begin"/>
            </w:r>
            <w:r w:rsidR="00C11769" w:rsidRPr="00CB1763">
              <w:rPr>
                <w:noProof/>
                <w:webHidden/>
                <w:lang w:val="fr-CA"/>
              </w:rPr>
              <w:instrText xml:space="preserve"> PAGEREF _Toc368318366 \h </w:instrText>
            </w:r>
            <w:r w:rsidRPr="00CB1763">
              <w:rPr>
                <w:noProof/>
                <w:webHidden/>
                <w:lang w:val="fr-CA"/>
              </w:rPr>
            </w:r>
            <w:r w:rsidRPr="00CB1763">
              <w:rPr>
                <w:noProof/>
                <w:webHidden/>
                <w:lang w:val="fr-CA"/>
              </w:rPr>
              <w:fldChar w:fldCharType="separate"/>
            </w:r>
            <w:r w:rsidR="00293C96" w:rsidRPr="00CB1763">
              <w:rPr>
                <w:noProof/>
                <w:webHidden/>
                <w:lang w:val="fr-CA"/>
              </w:rPr>
              <w:t>2</w:t>
            </w:r>
            <w:r w:rsidRPr="00CB1763">
              <w:rPr>
                <w:noProof/>
                <w:webHidden/>
                <w:lang w:val="fr-CA"/>
              </w:rPr>
              <w:fldChar w:fldCharType="end"/>
            </w:r>
          </w:hyperlink>
          <w:r w:rsidR="001A5DAE">
            <w:rPr>
              <w:noProof/>
              <w:lang w:val="fr-CA"/>
            </w:rPr>
            <w:t>6</w:t>
          </w:r>
        </w:p>
        <w:p w:rsidR="00C11769" w:rsidRPr="00CB1763" w:rsidRDefault="00487409">
          <w:pPr>
            <w:pStyle w:val="TOC2"/>
            <w:tabs>
              <w:tab w:val="left" w:pos="880"/>
              <w:tab w:val="right" w:leader="dot" w:pos="9350"/>
            </w:tabs>
            <w:rPr>
              <w:rFonts w:eastAsiaTheme="minorEastAsia"/>
              <w:noProof/>
              <w:lang w:val="fr-CA" w:eastAsia="en-CA"/>
            </w:rPr>
          </w:pPr>
          <w:hyperlink w:anchor="_Toc368318367" w:history="1">
            <w:r w:rsidR="00C11769" w:rsidRPr="00CB1763">
              <w:rPr>
                <w:rStyle w:val="Hyperlink"/>
                <w:rFonts w:eastAsia="Times New Roman"/>
                <w:noProof/>
                <w:lang w:val="fr-CA"/>
              </w:rPr>
              <w:t>EE.</w:t>
            </w:r>
            <w:r w:rsidR="00C11769" w:rsidRPr="00CB1763">
              <w:rPr>
                <w:rFonts w:eastAsiaTheme="minorEastAsia"/>
                <w:noProof/>
                <w:lang w:val="fr-CA" w:eastAsia="en-CA"/>
              </w:rPr>
              <w:tab/>
            </w:r>
            <w:r w:rsidR="00C11769" w:rsidRPr="00CB1763">
              <w:rPr>
                <w:rStyle w:val="Hyperlink"/>
                <w:rFonts w:eastAsia="Times New Roman"/>
                <w:noProof/>
                <w:lang w:val="fr-CA"/>
              </w:rPr>
              <w:t>Comment</w:t>
            </w:r>
            <w:r w:rsidR="00B00AF0" w:rsidRPr="00CB1763">
              <w:rPr>
                <w:rStyle w:val="Hyperlink"/>
                <w:rFonts w:eastAsia="Times New Roman"/>
                <w:noProof/>
                <w:lang w:val="fr-CA"/>
              </w:rPr>
              <w:t>aire</w:t>
            </w:r>
            <w:r w:rsidR="00C11769" w:rsidRPr="00CB1763">
              <w:rPr>
                <w:rStyle w:val="Hyperlink"/>
                <w:rFonts w:eastAsia="Times New Roman"/>
                <w:noProof/>
                <w:lang w:val="fr-CA"/>
              </w:rPr>
              <w:t>s</w:t>
            </w:r>
            <w:r w:rsidR="00B00AF0" w:rsidRPr="00CB1763">
              <w:rPr>
                <w:rStyle w:val="Hyperlink"/>
                <w:rFonts w:eastAsia="Times New Roman"/>
                <w:noProof/>
                <w:lang w:val="fr-CA"/>
              </w:rPr>
              <w:t xml:space="preserve"> généraux</w:t>
            </w:r>
            <w:r w:rsidR="00C11769" w:rsidRPr="00CB1763">
              <w:rPr>
                <w:noProof/>
                <w:webHidden/>
                <w:lang w:val="fr-CA"/>
              </w:rPr>
              <w:tab/>
            </w:r>
            <w:r w:rsidRPr="00CB1763">
              <w:rPr>
                <w:noProof/>
                <w:webHidden/>
                <w:lang w:val="fr-CA"/>
              </w:rPr>
              <w:fldChar w:fldCharType="begin"/>
            </w:r>
            <w:r w:rsidR="00C11769" w:rsidRPr="00CB1763">
              <w:rPr>
                <w:noProof/>
                <w:webHidden/>
                <w:lang w:val="fr-CA"/>
              </w:rPr>
              <w:instrText xml:space="preserve"> PAGEREF _Toc368318367 \h </w:instrText>
            </w:r>
            <w:r w:rsidRPr="00CB1763">
              <w:rPr>
                <w:noProof/>
                <w:webHidden/>
                <w:lang w:val="fr-CA"/>
              </w:rPr>
            </w:r>
            <w:r w:rsidRPr="00CB1763">
              <w:rPr>
                <w:noProof/>
                <w:webHidden/>
                <w:lang w:val="fr-CA"/>
              </w:rPr>
              <w:fldChar w:fldCharType="separate"/>
            </w:r>
            <w:r w:rsidR="00293C96" w:rsidRPr="00CB1763">
              <w:rPr>
                <w:noProof/>
                <w:webHidden/>
                <w:lang w:val="fr-CA"/>
              </w:rPr>
              <w:t>2</w:t>
            </w:r>
            <w:r w:rsidRPr="00CB1763">
              <w:rPr>
                <w:noProof/>
                <w:webHidden/>
                <w:lang w:val="fr-CA"/>
              </w:rPr>
              <w:fldChar w:fldCharType="end"/>
            </w:r>
          </w:hyperlink>
          <w:r w:rsidR="001A5DAE">
            <w:rPr>
              <w:noProof/>
              <w:lang w:val="fr-CA"/>
            </w:rPr>
            <w:t>6</w:t>
          </w:r>
        </w:p>
        <w:p w:rsidR="00C11769" w:rsidRPr="00CB1763" w:rsidRDefault="00487409">
          <w:pPr>
            <w:pStyle w:val="TOC2"/>
            <w:tabs>
              <w:tab w:val="left" w:pos="880"/>
              <w:tab w:val="right" w:leader="dot" w:pos="9350"/>
            </w:tabs>
            <w:rPr>
              <w:rFonts w:eastAsiaTheme="minorEastAsia"/>
              <w:noProof/>
              <w:lang w:val="fr-CA" w:eastAsia="en-CA"/>
            </w:rPr>
          </w:pPr>
          <w:hyperlink w:anchor="_Toc368318368" w:history="1">
            <w:r w:rsidR="00C11769" w:rsidRPr="00CB1763">
              <w:rPr>
                <w:rStyle w:val="Hyperlink"/>
                <w:rFonts w:eastAsia="Times New Roman"/>
                <w:noProof/>
                <w:lang w:val="fr-CA"/>
              </w:rPr>
              <w:t>FF.</w:t>
            </w:r>
            <w:r w:rsidR="00C11769" w:rsidRPr="00CB1763">
              <w:rPr>
                <w:rFonts w:eastAsiaTheme="minorEastAsia"/>
                <w:noProof/>
                <w:lang w:val="fr-CA" w:eastAsia="en-CA"/>
              </w:rPr>
              <w:tab/>
            </w:r>
            <w:r w:rsidR="00C11769" w:rsidRPr="00CB1763">
              <w:rPr>
                <w:rStyle w:val="Hyperlink"/>
                <w:rFonts w:eastAsia="Times New Roman"/>
                <w:noProof/>
                <w:lang w:val="fr-CA"/>
              </w:rPr>
              <w:t>Personnel</w:t>
            </w:r>
            <w:r w:rsidR="00B00AF0" w:rsidRPr="00CB1763">
              <w:rPr>
                <w:rStyle w:val="Hyperlink"/>
                <w:rFonts w:eastAsia="Times New Roman"/>
                <w:noProof/>
                <w:lang w:val="fr-CA"/>
              </w:rPr>
              <w:t xml:space="preserve"> de classification</w:t>
            </w:r>
            <w:r w:rsidR="00C11769" w:rsidRPr="00CB1763">
              <w:rPr>
                <w:rStyle w:val="Hyperlink"/>
                <w:rFonts w:eastAsia="Times New Roman"/>
                <w:noProof/>
                <w:lang w:val="fr-CA"/>
              </w:rPr>
              <w:t xml:space="preserve"> (</w:t>
            </w:r>
            <w:r w:rsidR="00B00AF0" w:rsidRPr="00CB1763">
              <w:rPr>
                <w:rStyle w:val="Hyperlink"/>
                <w:rFonts w:eastAsia="Times New Roman"/>
                <w:noProof/>
                <w:lang w:val="fr-CA"/>
              </w:rPr>
              <w:t xml:space="preserve">Norme internationale : </w:t>
            </w:r>
            <w:r w:rsidR="00670DC1" w:rsidRPr="00CB1763">
              <w:rPr>
                <w:rStyle w:val="Hyperlink"/>
                <w:rFonts w:eastAsia="Times New Roman"/>
                <w:noProof/>
                <w:lang w:val="fr-CA"/>
              </w:rPr>
              <w:t>Certification et formation du personnel de classification,</w:t>
            </w:r>
            <w:r w:rsidR="00C11769" w:rsidRPr="00CB1763">
              <w:rPr>
                <w:rStyle w:val="Hyperlink"/>
                <w:rFonts w:eastAsia="Times New Roman"/>
                <w:noProof/>
                <w:lang w:val="fr-CA"/>
              </w:rPr>
              <w:t xml:space="preserve"> Section 1)</w:t>
            </w:r>
            <w:r w:rsidR="00C11769" w:rsidRPr="00CB1763">
              <w:rPr>
                <w:noProof/>
                <w:webHidden/>
                <w:lang w:val="fr-CA"/>
              </w:rPr>
              <w:tab/>
            </w:r>
            <w:r w:rsidRPr="00CB1763">
              <w:rPr>
                <w:noProof/>
                <w:webHidden/>
                <w:lang w:val="fr-CA"/>
              </w:rPr>
              <w:fldChar w:fldCharType="begin"/>
            </w:r>
            <w:r w:rsidR="00C11769" w:rsidRPr="00CB1763">
              <w:rPr>
                <w:noProof/>
                <w:webHidden/>
                <w:lang w:val="fr-CA"/>
              </w:rPr>
              <w:instrText xml:space="preserve"> PAGEREF _Toc368318368 \h </w:instrText>
            </w:r>
            <w:r w:rsidRPr="00CB1763">
              <w:rPr>
                <w:noProof/>
                <w:webHidden/>
                <w:lang w:val="fr-CA"/>
              </w:rPr>
            </w:r>
            <w:r w:rsidRPr="00CB1763">
              <w:rPr>
                <w:noProof/>
                <w:webHidden/>
                <w:lang w:val="fr-CA"/>
              </w:rPr>
              <w:fldChar w:fldCharType="separate"/>
            </w:r>
            <w:r w:rsidR="00293C96" w:rsidRPr="00CB1763">
              <w:rPr>
                <w:noProof/>
                <w:webHidden/>
                <w:lang w:val="fr-CA"/>
              </w:rPr>
              <w:t>2</w:t>
            </w:r>
            <w:r w:rsidRPr="00CB1763">
              <w:rPr>
                <w:noProof/>
                <w:webHidden/>
                <w:lang w:val="fr-CA"/>
              </w:rPr>
              <w:fldChar w:fldCharType="end"/>
            </w:r>
          </w:hyperlink>
          <w:r w:rsidR="001A5DAE">
            <w:rPr>
              <w:noProof/>
              <w:lang w:val="fr-CA"/>
            </w:rPr>
            <w:t>6</w:t>
          </w:r>
        </w:p>
        <w:p w:rsidR="00C11769" w:rsidRPr="00CB1763" w:rsidRDefault="00487409">
          <w:pPr>
            <w:pStyle w:val="TOC2"/>
            <w:tabs>
              <w:tab w:val="left" w:pos="880"/>
              <w:tab w:val="right" w:leader="dot" w:pos="9350"/>
            </w:tabs>
            <w:rPr>
              <w:rFonts w:eastAsiaTheme="minorEastAsia"/>
              <w:noProof/>
              <w:lang w:val="fr-CA" w:eastAsia="en-CA"/>
            </w:rPr>
          </w:pPr>
          <w:hyperlink w:anchor="_Toc368318369" w:history="1">
            <w:r w:rsidR="00C11769" w:rsidRPr="00CB1763">
              <w:rPr>
                <w:rStyle w:val="Hyperlink"/>
                <w:rFonts w:eastAsia="Times New Roman"/>
                <w:noProof/>
                <w:lang w:val="fr-CA"/>
              </w:rPr>
              <w:t>GG.</w:t>
            </w:r>
            <w:r w:rsidR="00C11769" w:rsidRPr="00CB1763">
              <w:rPr>
                <w:rFonts w:eastAsiaTheme="minorEastAsia"/>
                <w:noProof/>
                <w:lang w:val="fr-CA" w:eastAsia="en-CA"/>
              </w:rPr>
              <w:tab/>
            </w:r>
            <w:r w:rsidR="00C11769" w:rsidRPr="00CB1763">
              <w:rPr>
                <w:rStyle w:val="Hyperlink"/>
                <w:rFonts w:eastAsia="Times New Roman"/>
                <w:noProof/>
                <w:lang w:val="fr-CA"/>
              </w:rPr>
              <w:t>Certification</w:t>
            </w:r>
            <w:r w:rsidR="008518A9" w:rsidRPr="00CB1763">
              <w:rPr>
                <w:rStyle w:val="Hyperlink"/>
                <w:rFonts w:eastAsia="Times New Roman"/>
                <w:noProof/>
                <w:lang w:val="fr-CA"/>
              </w:rPr>
              <w:t xml:space="preserve"> du personnel de classification</w:t>
            </w:r>
            <w:r w:rsidR="00C11769" w:rsidRPr="00CB1763">
              <w:rPr>
                <w:rStyle w:val="Hyperlink"/>
                <w:rFonts w:eastAsia="Times New Roman"/>
                <w:noProof/>
                <w:lang w:val="fr-CA"/>
              </w:rPr>
              <w:t xml:space="preserve"> (</w:t>
            </w:r>
            <w:r w:rsidR="005C2C71" w:rsidRPr="00CB1763">
              <w:rPr>
                <w:rStyle w:val="Hyperlink"/>
                <w:rFonts w:eastAsia="Times New Roman"/>
                <w:noProof/>
                <w:lang w:val="fr-CA"/>
              </w:rPr>
              <w:t xml:space="preserve">Norme internationale : </w:t>
            </w:r>
            <w:r w:rsidR="008518A9" w:rsidRPr="00CB1763">
              <w:rPr>
                <w:rStyle w:val="Hyperlink"/>
                <w:rFonts w:eastAsia="Times New Roman"/>
                <w:noProof/>
                <w:lang w:val="fr-CA"/>
              </w:rPr>
              <w:t>Certification et formation du personnel de classification,</w:t>
            </w:r>
            <w:r w:rsidR="00C11769" w:rsidRPr="00CB1763">
              <w:rPr>
                <w:rStyle w:val="Hyperlink"/>
                <w:rFonts w:eastAsia="Times New Roman"/>
                <w:noProof/>
                <w:lang w:val="fr-CA"/>
              </w:rPr>
              <w:t xml:space="preserve"> Section 2)</w:t>
            </w:r>
            <w:r w:rsidR="00C11769" w:rsidRPr="00CB1763">
              <w:rPr>
                <w:noProof/>
                <w:webHidden/>
                <w:lang w:val="fr-CA"/>
              </w:rPr>
              <w:tab/>
            </w:r>
            <w:r w:rsidRPr="00CB1763">
              <w:rPr>
                <w:noProof/>
                <w:webHidden/>
                <w:lang w:val="fr-CA"/>
              </w:rPr>
              <w:fldChar w:fldCharType="begin"/>
            </w:r>
            <w:r w:rsidR="00C11769" w:rsidRPr="00CB1763">
              <w:rPr>
                <w:noProof/>
                <w:webHidden/>
                <w:lang w:val="fr-CA"/>
              </w:rPr>
              <w:instrText xml:space="preserve"> PAGEREF _Toc368318369 \h </w:instrText>
            </w:r>
            <w:r w:rsidRPr="00CB1763">
              <w:rPr>
                <w:noProof/>
                <w:webHidden/>
                <w:lang w:val="fr-CA"/>
              </w:rPr>
            </w:r>
            <w:r w:rsidRPr="00CB1763">
              <w:rPr>
                <w:noProof/>
                <w:webHidden/>
                <w:lang w:val="fr-CA"/>
              </w:rPr>
              <w:fldChar w:fldCharType="separate"/>
            </w:r>
            <w:r w:rsidR="00293C96" w:rsidRPr="00CB1763">
              <w:rPr>
                <w:noProof/>
                <w:webHidden/>
                <w:lang w:val="fr-CA"/>
              </w:rPr>
              <w:t>2</w:t>
            </w:r>
            <w:r w:rsidRPr="00CB1763">
              <w:rPr>
                <w:noProof/>
                <w:webHidden/>
                <w:lang w:val="fr-CA"/>
              </w:rPr>
              <w:fldChar w:fldCharType="end"/>
            </w:r>
          </w:hyperlink>
          <w:r w:rsidR="001A5DAE">
            <w:rPr>
              <w:noProof/>
              <w:lang w:val="fr-CA"/>
            </w:rPr>
            <w:t>6</w:t>
          </w:r>
        </w:p>
        <w:p w:rsidR="00C11769" w:rsidRPr="00CB1763" w:rsidRDefault="00487409">
          <w:pPr>
            <w:pStyle w:val="TOC2"/>
            <w:tabs>
              <w:tab w:val="left" w:pos="880"/>
              <w:tab w:val="right" w:leader="dot" w:pos="9350"/>
            </w:tabs>
            <w:rPr>
              <w:rFonts w:eastAsiaTheme="minorEastAsia"/>
              <w:noProof/>
              <w:lang w:val="fr-CA" w:eastAsia="en-CA"/>
            </w:rPr>
          </w:pPr>
          <w:hyperlink w:anchor="_Toc368318370" w:history="1">
            <w:r w:rsidR="00C11769" w:rsidRPr="00CB1763">
              <w:rPr>
                <w:rStyle w:val="Hyperlink"/>
                <w:rFonts w:eastAsia="Times New Roman"/>
                <w:noProof/>
                <w:lang w:val="fr-CA"/>
              </w:rPr>
              <w:t>HH.</w:t>
            </w:r>
            <w:r w:rsidR="00C11769" w:rsidRPr="00CB1763">
              <w:rPr>
                <w:rFonts w:eastAsiaTheme="minorEastAsia"/>
                <w:noProof/>
                <w:lang w:val="fr-CA" w:eastAsia="en-CA"/>
              </w:rPr>
              <w:tab/>
            </w:r>
            <w:r w:rsidR="003B3C26" w:rsidRPr="00CB1763">
              <w:rPr>
                <w:rFonts w:eastAsiaTheme="minorEastAsia"/>
                <w:noProof/>
                <w:lang w:val="fr-CA" w:eastAsia="en-CA"/>
              </w:rPr>
              <w:t xml:space="preserve">Évaluation des </w:t>
            </w:r>
            <w:r w:rsidR="003B3C26" w:rsidRPr="00CB1763">
              <w:rPr>
                <w:rStyle w:val="Hyperlink"/>
                <w:rFonts w:eastAsia="Times New Roman"/>
                <w:noProof/>
                <w:lang w:val="fr-CA"/>
              </w:rPr>
              <w:t>compétenc</w:t>
            </w:r>
            <w:r w:rsidR="00C11769" w:rsidRPr="00CB1763">
              <w:rPr>
                <w:rStyle w:val="Hyperlink"/>
                <w:rFonts w:eastAsia="Times New Roman"/>
                <w:noProof/>
                <w:lang w:val="fr-CA"/>
              </w:rPr>
              <w:t>es (</w:t>
            </w:r>
            <w:r w:rsidR="00343D33" w:rsidRPr="00CB1763">
              <w:rPr>
                <w:rStyle w:val="Hyperlink"/>
                <w:rFonts w:eastAsia="Times New Roman"/>
                <w:noProof/>
                <w:lang w:val="fr-CA"/>
              </w:rPr>
              <w:t xml:space="preserve">Norme internationale : </w:t>
            </w:r>
            <w:r w:rsidR="003B3C26" w:rsidRPr="00CB1763">
              <w:rPr>
                <w:rStyle w:val="Hyperlink"/>
                <w:rFonts w:eastAsia="Times New Roman"/>
                <w:noProof/>
                <w:lang w:val="fr-CA"/>
              </w:rPr>
              <w:t>Certification et formation du personnel de classification, S</w:t>
            </w:r>
            <w:r w:rsidR="00C11769" w:rsidRPr="00CB1763">
              <w:rPr>
                <w:rStyle w:val="Hyperlink"/>
                <w:rFonts w:eastAsia="Times New Roman"/>
                <w:noProof/>
                <w:lang w:val="fr-CA"/>
              </w:rPr>
              <w:t>ection 3)</w:t>
            </w:r>
            <w:r w:rsidR="00C11769" w:rsidRPr="00CB1763">
              <w:rPr>
                <w:noProof/>
                <w:webHidden/>
                <w:lang w:val="fr-CA"/>
              </w:rPr>
              <w:tab/>
            </w:r>
            <w:r w:rsidRPr="00CB1763">
              <w:rPr>
                <w:noProof/>
                <w:webHidden/>
                <w:lang w:val="fr-CA"/>
              </w:rPr>
              <w:fldChar w:fldCharType="begin"/>
            </w:r>
            <w:r w:rsidR="00C11769" w:rsidRPr="00CB1763">
              <w:rPr>
                <w:noProof/>
                <w:webHidden/>
                <w:lang w:val="fr-CA"/>
              </w:rPr>
              <w:instrText xml:space="preserve"> PAGEREF _Toc368318370 \h </w:instrText>
            </w:r>
            <w:r w:rsidRPr="00CB1763">
              <w:rPr>
                <w:noProof/>
                <w:webHidden/>
                <w:lang w:val="fr-CA"/>
              </w:rPr>
            </w:r>
            <w:r w:rsidRPr="00CB1763">
              <w:rPr>
                <w:noProof/>
                <w:webHidden/>
                <w:lang w:val="fr-CA"/>
              </w:rPr>
              <w:fldChar w:fldCharType="separate"/>
            </w:r>
            <w:r w:rsidR="00293C96" w:rsidRPr="00CB1763">
              <w:rPr>
                <w:noProof/>
                <w:webHidden/>
                <w:lang w:val="fr-CA"/>
              </w:rPr>
              <w:t>2</w:t>
            </w:r>
            <w:r w:rsidRPr="00CB1763">
              <w:rPr>
                <w:noProof/>
                <w:webHidden/>
                <w:lang w:val="fr-CA"/>
              </w:rPr>
              <w:fldChar w:fldCharType="end"/>
            </w:r>
          </w:hyperlink>
          <w:r w:rsidR="001A5DAE">
            <w:rPr>
              <w:noProof/>
              <w:lang w:val="fr-CA"/>
            </w:rPr>
            <w:t>7</w:t>
          </w:r>
        </w:p>
        <w:p w:rsidR="00C11769" w:rsidRPr="00CB1763" w:rsidRDefault="00487409">
          <w:pPr>
            <w:pStyle w:val="TOC2"/>
            <w:tabs>
              <w:tab w:val="left" w:pos="660"/>
              <w:tab w:val="right" w:leader="dot" w:pos="9350"/>
            </w:tabs>
            <w:rPr>
              <w:rFonts w:eastAsiaTheme="minorEastAsia"/>
              <w:noProof/>
              <w:lang w:val="fr-CA" w:eastAsia="en-CA"/>
            </w:rPr>
          </w:pPr>
          <w:hyperlink w:anchor="_Toc368318371" w:history="1">
            <w:r w:rsidR="00C11769" w:rsidRPr="00CB1763">
              <w:rPr>
                <w:rStyle w:val="Hyperlink"/>
                <w:rFonts w:eastAsia="Times New Roman"/>
                <w:noProof/>
                <w:lang w:val="fr-CA"/>
              </w:rPr>
              <w:t>JJ.</w:t>
            </w:r>
            <w:r w:rsidR="00C11769" w:rsidRPr="00CB1763">
              <w:rPr>
                <w:rFonts w:eastAsiaTheme="minorEastAsia"/>
                <w:noProof/>
                <w:lang w:val="fr-CA" w:eastAsia="en-CA"/>
              </w:rPr>
              <w:tab/>
            </w:r>
            <w:r w:rsidR="003B3C26" w:rsidRPr="00CB1763">
              <w:rPr>
                <w:rFonts w:eastAsiaTheme="minorEastAsia"/>
                <w:noProof/>
                <w:lang w:val="fr-CA" w:eastAsia="en-CA"/>
              </w:rPr>
              <w:t xml:space="preserve">    </w:t>
            </w:r>
            <w:r w:rsidR="00B65419" w:rsidRPr="00CB1763">
              <w:rPr>
                <w:rStyle w:val="Hyperlink"/>
                <w:rFonts w:eastAsia="Times New Roman"/>
                <w:noProof/>
                <w:lang w:val="fr-CA"/>
              </w:rPr>
              <w:t>Responsabilités et fonction</w:t>
            </w:r>
            <w:r w:rsidR="00C11769" w:rsidRPr="00CB1763">
              <w:rPr>
                <w:rStyle w:val="Hyperlink"/>
                <w:rFonts w:eastAsia="Times New Roman"/>
                <w:noProof/>
                <w:lang w:val="fr-CA"/>
              </w:rPr>
              <w:t xml:space="preserve">s </w:t>
            </w:r>
            <w:r w:rsidR="00B65419" w:rsidRPr="00CB1763">
              <w:rPr>
                <w:rStyle w:val="Hyperlink"/>
                <w:rFonts w:eastAsia="Times New Roman"/>
                <w:noProof/>
                <w:lang w:val="fr-CA"/>
              </w:rPr>
              <w:t>du personnel de classification</w:t>
            </w:r>
            <w:r w:rsidR="00C11769" w:rsidRPr="00CB1763">
              <w:rPr>
                <w:rStyle w:val="Hyperlink"/>
                <w:rFonts w:eastAsia="Times New Roman"/>
                <w:noProof/>
                <w:lang w:val="fr-CA"/>
              </w:rPr>
              <w:t xml:space="preserve"> (</w:t>
            </w:r>
            <w:r w:rsidR="00B65419" w:rsidRPr="00CB1763">
              <w:rPr>
                <w:rStyle w:val="Hyperlink"/>
                <w:rFonts w:eastAsia="Times New Roman"/>
                <w:noProof/>
                <w:lang w:val="fr-CA"/>
              </w:rPr>
              <w:t>Norme i</w:t>
            </w:r>
            <w:r w:rsidR="00C11769" w:rsidRPr="00CB1763">
              <w:rPr>
                <w:rStyle w:val="Hyperlink"/>
                <w:rFonts w:eastAsia="Times New Roman"/>
                <w:noProof/>
                <w:lang w:val="fr-CA"/>
              </w:rPr>
              <w:t>nternational</w:t>
            </w:r>
            <w:r w:rsidR="00B65419" w:rsidRPr="00CB1763">
              <w:rPr>
                <w:rStyle w:val="Hyperlink"/>
                <w:rFonts w:eastAsia="Times New Roman"/>
                <w:noProof/>
                <w:lang w:val="fr-CA"/>
              </w:rPr>
              <w:t xml:space="preserve">e </w:t>
            </w:r>
            <w:r w:rsidR="00C11769" w:rsidRPr="00CB1763">
              <w:rPr>
                <w:rStyle w:val="Hyperlink"/>
                <w:rFonts w:eastAsia="Times New Roman"/>
                <w:noProof/>
                <w:lang w:val="fr-CA"/>
              </w:rPr>
              <w:t xml:space="preserve">: </w:t>
            </w:r>
            <w:r w:rsidR="002A59F4" w:rsidRPr="00CB1763">
              <w:rPr>
                <w:rStyle w:val="Hyperlink"/>
                <w:rFonts w:eastAsia="Times New Roman"/>
                <w:noProof/>
                <w:lang w:val="fr-CA"/>
              </w:rPr>
              <w:t>Certification et formation du personnel de classification,</w:t>
            </w:r>
            <w:r w:rsidR="00C11769" w:rsidRPr="00CB1763">
              <w:rPr>
                <w:rStyle w:val="Hyperlink"/>
                <w:rFonts w:eastAsia="Times New Roman"/>
                <w:noProof/>
                <w:lang w:val="fr-CA"/>
              </w:rPr>
              <w:t xml:space="preserve"> Section 5)</w:t>
            </w:r>
            <w:r w:rsidR="00C11769" w:rsidRPr="00CB1763">
              <w:rPr>
                <w:noProof/>
                <w:webHidden/>
                <w:lang w:val="fr-CA"/>
              </w:rPr>
              <w:tab/>
            </w:r>
            <w:r w:rsidRPr="00CB1763">
              <w:rPr>
                <w:noProof/>
                <w:webHidden/>
                <w:lang w:val="fr-CA"/>
              </w:rPr>
              <w:fldChar w:fldCharType="begin"/>
            </w:r>
            <w:r w:rsidR="00C11769" w:rsidRPr="00CB1763">
              <w:rPr>
                <w:noProof/>
                <w:webHidden/>
                <w:lang w:val="fr-CA"/>
              </w:rPr>
              <w:instrText xml:space="preserve"> PAGEREF _Toc368318371 \h </w:instrText>
            </w:r>
            <w:r w:rsidRPr="00CB1763">
              <w:rPr>
                <w:noProof/>
                <w:webHidden/>
                <w:lang w:val="fr-CA"/>
              </w:rPr>
            </w:r>
            <w:r w:rsidRPr="00CB1763">
              <w:rPr>
                <w:noProof/>
                <w:webHidden/>
                <w:lang w:val="fr-CA"/>
              </w:rPr>
              <w:fldChar w:fldCharType="separate"/>
            </w:r>
            <w:r w:rsidR="00293C96" w:rsidRPr="00CB1763">
              <w:rPr>
                <w:noProof/>
                <w:webHidden/>
                <w:lang w:val="fr-CA"/>
              </w:rPr>
              <w:t>2</w:t>
            </w:r>
            <w:r w:rsidRPr="00CB1763">
              <w:rPr>
                <w:noProof/>
                <w:webHidden/>
                <w:lang w:val="fr-CA"/>
              </w:rPr>
              <w:fldChar w:fldCharType="end"/>
            </w:r>
          </w:hyperlink>
          <w:r w:rsidR="001A5DAE">
            <w:rPr>
              <w:noProof/>
              <w:lang w:val="fr-CA"/>
            </w:rPr>
            <w:t>7</w:t>
          </w:r>
        </w:p>
        <w:p w:rsidR="00C11769" w:rsidRPr="00CB1763" w:rsidRDefault="00487409">
          <w:pPr>
            <w:pStyle w:val="TOC2"/>
            <w:tabs>
              <w:tab w:val="right" w:leader="dot" w:pos="9350"/>
            </w:tabs>
            <w:rPr>
              <w:rFonts w:eastAsiaTheme="minorEastAsia"/>
              <w:noProof/>
              <w:lang w:val="fr-CA" w:eastAsia="en-CA"/>
            </w:rPr>
          </w:pPr>
          <w:hyperlink w:anchor="_Toc368318372" w:history="1">
            <w:r w:rsidR="002A59F4" w:rsidRPr="00CB1763">
              <w:rPr>
                <w:rStyle w:val="Hyperlink"/>
                <w:rFonts w:eastAsia="Times New Roman"/>
                <w:noProof/>
                <w:lang w:val="fr-CA"/>
              </w:rPr>
              <w:t xml:space="preserve">KK.       </w:t>
            </w:r>
            <w:r w:rsidR="00C11769" w:rsidRPr="00CB1763">
              <w:rPr>
                <w:rStyle w:val="Hyperlink"/>
                <w:rFonts w:eastAsia="Times New Roman"/>
                <w:noProof/>
                <w:lang w:val="fr-CA"/>
              </w:rPr>
              <w:t xml:space="preserve">Code </w:t>
            </w:r>
            <w:r w:rsidR="002A59F4" w:rsidRPr="00CB1763">
              <w:rPr>
                <w:rStyle w:val="Hyperlink"/>
                <w:rFonts w:eastAsia="Times New Roman"/>
                <w:noProof/>
                <w:lang w:val="fr-CA"/>
              </w:rPr>
              <w:t>de déontologie du personnel de classification</w:t>
            </w:r>
            <w:r w:rsidR="00C11769" w:rsidRPr="00CB1763">
              <w:rPr>
                <w:rStyle w:val="Hyperlink"/>
                <w:rFonts w:eastAsia="Times New Roman"/>
                <w:noProof/>
                <w:lang w:val="fr-CA"/>
              </w:rPr>
              <w:t xml:space="preserve"> (</w:t>
            </w:r>
            <w:r w:rsidR="00343D33" w:rsidRPr="00CB1763">
              <w:rPr>
                <w:rStyle w:val="Hyperlink"/>
                <w:rFonts w:eastAsia="Times New Roman"/>
                <w:noProof/>
                <w:lang w:val="fr-CA"/>
              </w:rPr>
              <w:t xml:space="preserve">Norme internationale : </w:t>
            </w:r>
            <w:r w:rsidR="002A59F4" w:rsidRPr="00CB1763">
              <w:rPr>
                <w:rStyle w:val="Hyperlink"/>
                <w:rFonts w:eastAsia="Times New Roman"/>
                <w:noProof/>
                <w:lang w:val="fr-CA"/>
              </w:rPr>
              <w:t>Certification et formation du personnel de classification,</w:t>
            </w:r>
            <w:r w:rsidR="00C11769" w:rsidRPr="00CB1763">
              <w:rPr>
                <w:rStyle w:val="Hyperlink"/>
                <w:rFonts w:eastAsia="Times New Roman"/>
                <w:noProof/>
                <w:lang w:val="fr-CA"/>
              </w:rPr>
              <w:t xml:space="preserve"> Section 6)</w:t>
            </w:r>
            <w:r w:rsidR="00C11769" w:rsidRPr="00CB1763">
              <w:rPr>
                <w:noProof/>
                <w:webHidden/>
                <w:lang w:val="fr-CA"/>
              </w:rPr>
              <w:tab/>
            </w:r>
            <w:r w:rsidRPr="00CB1763">
              <w:rPr>
                <w:noProof/>
                <w:webHidden/>
                <w:lang w:val="fr-CA"/>
              </w:rPr>
              <w:fldChar w:fldCharType="begin"/>
            </w:r>
            <w:r w:rsidR="00C11769" w:rsidRPr="00CB1763">
              <w:rPr>
                <w:noProof/>
                <w:webHidden/>
                <w:lang w:val="fr-CA"/>
              </w:rPr>
              <w:instrText xml:space="preserve"> PAGEREF _Toc368318372 \h </w:instrText>
            </w:r>
            <w:r w:rsidRPr="00CB1763">
              <w:rPr>
                <w:noProof/>
                <w:webHidden/>
                <w:lang w:val="fr-CA"/>
              </w:rPr>
            </w:r>
            <w:r w:rsidRPr="00CB1763">
              <w:rPr>
                <w:noProof/>
                <w:webHidden/>
                <w:lang w:val="fr-CA"/>
              </w:rPr>
              <w:fldChar w:fldCharType="separate"/>
            </w:r>
            <w:r w:rsidR="00293C96" w:rsidRPr="00CB1763">
              <w:rPr>
                <w:noProof/>
                <w:webHidden/>
                <w:lang w:val="fr-CA"/>
              </w:rPr>
              <w:t>2</w:t>
            </w:r>
            <w:r w:rsidRPr="00CB1763">
              <w:rPr>
                <w:noProof/>
                <w:webHidden/>
                <w:lang w:val="fr-CA"/>
              </w:rPr>
              <w:fldChar w:fldCharType="end"/>
            </w:r>
          </w:hyperlink>
          <w:r w:rsidR="00A057E8">
            <w:rPr>
              <w:noProof/>
              <w:lang w:val="fr-CA"/>
            </w:rPr>
            <w:t>8</w:t>
          </w:r>
        </w:p>
        <w:p w:rsidR="00C11769" w:rsidRPr="00CB1763" w:rsidRDefault="00487409">
          <w:pPr>
            <w:pStyle w:val="TOC1"/>
            <w:tabs>
              <w:tab w:val="left" w:pos="660"/>
              <w:tab w:val="right" w:leader="dot" w:pos="9350"/>
            </w:tabs>
            <w:rPr>
              <w:rFonts w:eastAsiaTheme="minorEastAsia"/>
              <w:noProof/>
              <w:lang w:val="fr-CA" w:eastAsia="en-CA"/>
            </w:rPr>
          </w:pPr>
          <w:hyperlink w:anchor="_Toc368318373" w:history="1">
            <w:r w:rsidR="00C11769" w:rsidRPr="00CB1763">
              <w:rPr>
                <w:rStyle w:val="Hyperlink"/>
                <w:rFonts w:eastAsia="Times New Roman"/>
                <w:noProof/>
                <w:lang w:val="fr-CA"/>
              </w:rPr>
              <w:t>VI.</w:t>
            </w:r>
            <w:r w:rsidR="00C11769" w:rsidRPr="00CB1763">
              <w:rPr>
                <w:rFonts w:eastAsiaTheme="minorEastAsia"/>
                <w:noProof/>
                <w:lang w:val="fr-CA" w:eastAsia="en-CA"/>
              </w:rPr>
              <w:tab/>
            </w:r>
            <w:r w:rsidR="00C11769" w:rsidRPr="00CB1763">
              <w:rPr>
                <w:rStyle w:val="Hyperlink"/>
                <w:rFonts w:eastAsia="Times New Roman"/>
                <w:noProof/>
                <w:lang w:val="fr-CA"/>
              </w:rPr>
              <w:t>Conclusion</w:t>
            </w:r>
            <w:r w:rsidR="00C11769" w:rsidRPr="00CB1763">
              <w:rPr>
                <w:noProof/>
                <w:webHidden/>
                <w:lang w:val="fr-CA"/>
              </w:rPr>
              <w:tab/>
            </w:r>
            <w:r w:rsidRPr="00CB1763">
              <w:rPr>
                <w:noProof/>
                <w:webHidden/>
                <w:lang w:val="fr-CA"/>
              </w:rPr>
              <w:fldChar w:fldCharType="begin"/>
            </w:r>
            <w:r w:rsidR="00C11769" w:rsidRPr="00CB1763">
              <w:rPr>
                <w:noProof/>
                <w:webHidden/>
                <w:lang w:val="fr-CA"/>
              </w:rPr>
              <w:instrText xml:space="preserve"> PAGEREF _Toc368318373 \h </w:instrText>
            </w:r>
            <w:r w:rsidRPr="00CB1763">
              <w:rPr>
                <w:noProof/>
                <w:webHidden/>
                <w:lang w:val="fr-CA"/>
              </w:rPr>
            </w:r>
            <w:r w:rsidRPr="00CB1763">
              <w:rPr>
                <w:noProof/>
                <w:webHidden/>
                <w:lang w:val="fr-CA"/>
              </w:rPr>
              <w:fldChar w:fldCharType="separate"/>
            </w:r>
            <w:r w:rsidR="00293C96" w:rsidRPr="00CB1763">
              <w:rPr>
                <w:noProof/>
                <w:webHidden/>
                <w:lang w:val="fr-CA"/>
              </w:rPr>
              <w:t>2</w:t>
            </w:r>
            <w:r w:rsidRPr="00CB1763">
              <w:rPr>
                <w:noProof/>
                <w:webHidden/>
                <w:lang w:val="fr-CA"/>
              </w:rPr>
              <w:fldChar w:fldCharType="end"/>
            </w:r>
          </w:hyperlink>
          <w:r w:rsidR="00A057E8">
            <w:rPr>
              <w:noProof/>
              <w:lang w:val="fr-CA"/>
            </w:rPr>
            <w:t>8</w:t>
          </w:r>
        </w:p>
        <w:p w:rsidR="00C11769" w:rsidRPr="00CB1763" w:rsidRDefault="00487409">
          <w:pPr>
            <w:rPr>
              <w:lang w:val="fr-CA"/>
            </w:rPr>
            <w:sectPr w:rsidR="00C11769" w:rsidRPr="00CB1763" w:rsidSect="008A50D0">
              <w:footerReference w:type="default" r:id="rId8"/>
              <w:pgSz w:w="12240" w:h="15840"/>
              <w:pgMar w:top="1440" w:right="1440" w:bottom="1440" w:left="1440" w:header="720" w:footer="720" w:gutter="0"/>
              <w:cols w:space="720"/>
              <w:docGrid w:linePitch="360"/>
            </w:sectPr>
          </w:pPr>
          <w:r w:rsidRPr="00CB1763">
            <w:rPr>
              <w:b/>
              <w:bCs/>
              <w:noProof/>
              <w:lang w:val="fr-CA"/>
            </w:rPr>
            <w:fldChar w:fldCharType="end"/>
          </w:r>
        </w:p>
      </w:sdtContent>
    </w:sdt>
    <w:p w:rsidR="00C9159B" w:rsidRPr="00CB1763" w:rsidRDefault="00C9159B">
      <w:pPr>
        <w:rPr>
          <w:rFonts w:ascii="Arial" w:hAnsi="Arial" w:cs="Arial"/>
          <w:sz w:val="24"/>
          <w:szCs w:val="24"/>
          <w:lang w:val="fr-CA"/>
        </w:rPr>
      </w:pPr>
    </w:p>
    <w:p w:rsidR="00080CD0" w:rsidRPr="00CB1763" w:rsidRDefault="00AF1744" w:rsidP="00645A26">
      <w:pPr>
        <w:pStyle w:val="Heading1"/>
        <w:numPr>
          <w:ilvl w:val="0"/>
          <w:numId w:val="10"/>
        </w:numPr>
        <w:spacing w:before="0" w:after="240"/>
        <w:ind w:left="360" w:hanging="270"/>
        <w:rPr>
          <w:lang w:val="fr-CA"/>
        </w:rPr>
      </w:pPr>
      <w:bookmarkStart w:id="0" w:name="_Toc368318332"/>
      <w:r w:rsidRPr="00CB1763">
        <w:rPr>
          <w:lang w:val="fr-CA"/>
        </w:rPr>
        <w:t>Introduction</w:t>
      </w:r>
      <w:bookmarkEnd w:id="0"/>
    </w:p>
    <w:p w:rsidR="00080CD0" w:rsidRPr="00CB1763" w:rsidRDefault="00B0118D" w:rsidP="00645A26">
      <w:pPr>
        <w:pStyle w:val="ListParagraph"/>
        <w:numPr>
          <w:ilvl w:val="0"/>
          <w:numId w:val="8"/>
        </w:numPr>
        <w:spacing w:before="240" w:after="240"/>
        <w:ind w:left="360"/>
        <w:rPr>
          <w:rFonts w:cs="Arial"/>
          <w:sz w:val="24"/>
          <w:szCs w:val="24"/>
          <w:lang w:val="fr-CA"/>
        </w:rPr>
      </w:pPr>
      <w:r w:rsidRPr="00CB1763">
        <w:rPr>
          <w:rFonts w:cs="Arial"/>
          <w:sz w:val="24"/>
          <w:szCs w:val="24"/>
          <w:lang w:val="fr-CA"/>
        </w:rPr>
        <w:t>L’</w:t>
      </w:r>
      <w:r w:rsidR="00B00AF0" w:rsidRPr="00CB1763">
        <w:rPr>
          <w:rFonts w:cs="Arial"/>
          <w:sz w:val="24"/>
          <w:szCs w:val="24"/>
          <w:lang w:val="fr-CA"/>
        </w:rPr>
        <w:t>Association</w:t>
      </w:r>
      <w:r w:rsidRPr="00CB1763">
        <w:rPr>
          <w:rFonts w:cs="Arial"/>
          <w:sz w:val="24"/>
          <w:szCs w:val="24"/>
          <w:lang w:val="fr-CA"/>
        </w:rPr>
        <w:t xml:space="preserve"> canadienne des sports pour aveugles</w:t>
      </w:r>
      <w:r w:rsidR="00080CD0" w:rsidRPr="00CB1763">
        <w:rPr>
          <w:rFonts w:cs="Arial"/>
          <w:sz w:val="24"/>
          <w:szCs w:val="24"/>
          <w:lang w:val="fr-CA"/>
        </w:rPr>
        <w:t xml:space="preserve"> (</w:t>
      </w:r>
      <w:r w:rsidR="00B00AF0" w:rsidRPr="00CB1763">
        <w:rPr>
          <w:rFonts w:cs="Arial"/>
          <w:sz w:val="24"/>
          <w:szCs w:val="24"/>
          <w:lang w:val="fr-CA"/>
        </w:rPr>
        <w:t>ACSA)</w:t>
      </w:r>
      <w:r w:rsidR="00080CD0" w:rsidRPr="00CB1763">
        <w:rPr>
          <w:rFonts w:cs="Arial"/>
          <w:sz w:val="24"/>
          <w:szCs w:val="24"/>
          <w:lang w:val="fr-CA"/>
        </w:rPr>
        <w:t xml:space="preserve"> </w:t>
      </w:r>
      <w:r w:rsidRPr="00CB1763">
        <w:rPr>
          <w:rFonts w:cs="Arial"/>
          <w:sz w:val="24"/>
          <w:szCs w:val="24"/>
          <w:lang w:val="fr-CA"/>
        </w:rPr>
        <w:t>réagit à la suite de l’examen du Code de classification et des normes internationales du CIP de novembre 2007 (l</w:t>
      </w:r>
      <w:r w:rsidR="00E52D25" w:rsidRPr="00CB1763">
        <w:rPr>
          <w:rFonts w:cs="Arial"/>
          <w:sz w:val="24"/>
          <w:szCs w:val="24"/>
          <w:lang w:val="fr-CA"/>
        </w:rPr>
        <w:t>e Code)</w:t>
      </w:r>
      <w:r w:rsidR="00C15F31" w:rsidRPr="00CB1763">
        <w:rPr>
          <w:rFonts w:cs="Arial"/>
          <w:sz w:val="24"/>
          <w:szCs w:val="24"/>
          <w:lang w:val="fr-CA"/>
        </w:rPr>
        <w:t>,</w:t>
      </w:r>
      <w:r w:rsidR="00E52D25" w:rsidRPr="00CB1763">
        <w:rPr>
          <w:rFonts w:cs="Arial"/>
          <w:sz w:val="24"/>
          <w:szCs w:val="24"/>
          <w:lang w:val="fr-CA"/>
        </w:rPr>
        <w:t xml:space="preserve"> </w:t>
      </w:r>
      <w:r w:rsidRPr="00CB1763">
        <w:rPr>
          <w:rFonts w:cs="Arial"/>
          <w:sz w:val="24"/>
          <w:szCs w:val="24"/>
          <w:lang w:val="fr-CA"/>
        </w:rPr>
        <w:t>effectué par le Comité de classification</w:t>
      </w:r>
      <w:r w:rsidR="00080CD0" w:rsidRPr="00CB1763">
        <w:rPr>
          <w:rFonts w:cs="Arial"/>
          <w:sz w:val="24"/>
          <w:szCs w:val="24"/>
          <w:lang w:val="fr-CA"/>
        </w:rPr>
        <w:t xml:space="preserve"> (</w:t>
      </w:r>
      <w:r w:rsidRPr="00CB1763">
        <w:rPr>
          <w:rFonts w:cs="Arial"/>
          <w:sz w:val="24"/>
          <w:szCs w:val="24"/>
          <w:lang w:val="fr-CA"/>
        </w:rPr>
        <w:t>le Comité</w:t>
      </w:r>
      <w:r w:rsidR="00080CD0" w:rsidRPr="00CB1763">
        <w:rPr>
          <w:rFonts w:cs="Arial"/>
          <w:sz w:val="24"/>
          <w:szCs w:val="24"/>
          <w:lang w:val="fr-CA"/>
        </w:rPr>
        <w:t xml:space="preserve">) </w:t>
      </w:r>
      <w:r w:rsidRPr="00CB1763">
        <w:rPr>
          <w:rFonts w:cs="Arial"/>
          <w:sz w:val="24"/>
          <w:szCs w:val="24"/>
          <w:lang w:val="fr-CA"/>
        </w:rPr>
        <w:t>du Comité international paralympique (</w:t>
      </w:r>
      <w:r w:rsidR="00080CD0" w:rsidRPr="00CB1763">
        <w:rPr>
          <w:rFonts w:cs="Arial"/>
          <w:sz w:val="24"/>
          <w:szCs w:val="24"/>
          <w:lang w:val="fr-CA"/>
        </w:rPr>
        <w:t>C</w:t>
      </w:r>
      <w:r w:rsidRPr="00CB1763">
        <w:rPr>
          <w:rFonts w:cs="Arial"/>
          <w:sz w:val="24"/>
          <w:szCs w:val="24"/>
          <w:lang w:val="fr-CA"/>
        </w:rPr>
        <w:t>IP).</w:t>
      </w:r>
      <w:r w:rsidR="00080CD0" w:rsidRPr="00CB1763">
        <w:rPr>
          <w:rFonts w:cs="Arial"/>
          <w:sz w:val="24"/>
          <w:szCs w:val="24"/>
          <w:lang w:val="fr-CA"/>
        </w:rPr>
        <w:t xml:space="preserve"> </w:t>
      </w:r>
      <w:r w:rsidR="0059607F" w:rsidRPr="00CB1763">
        <w:rPr>
          <w:rFonts w:cs="Arial"/>
          <w:sz w:val="24"/>
          <w:szCs w:val="24"/>
          <w:lang w:val="fr-CA"/>
        </w:rPr>
        <w:t xml:space="preserve">Nous avons choisi de faire part de nos commentaires sous forme de mémoire plutôt que d’utiliser le chiffrier électronique </w:t>
      </w:r>
      <w:r w:rsidR="00D6708E" w:rsidRPr="00CB1763">
        <w:rPr>
          <w:rFonts w:cs="Arial"/>
          <w:sz w:val="24"/>
          <w:szCs w:val="24"/>
          <w:lang w:val="fr-CA"/>
        </w:rPr>
        <w:t>Excel</w:t>
      </w:r>
      <w:r w:rsidR="00B00AF0" w:rsidRPr="00CB1763">
        <w:rPr>
          <w:rFonts w:cs="Arial"/>
          <w:sz w:val="24"/>
          <w:szCs w:val="24"/>
          <w:lang w:val="fr-CA"/>
        </w:rPr>
        <w:t>.</w:t>
      </w:r>
      <w:r w:rsidR="00080CD0" w:rsidRPr="00CB1763">
        <w:rPr>
          <w:rFonts w:cs="Arial"/>
          <w:sz w:val="24"/>
          <w:szCs w:val="24"/>
          <w:lang w:val="fr-CA"/>
        </w:rPr>
        <w:t xml:space="preserve"> </w:t>
      </w:r>
      <w:r w:rsidR="0059607F" w:rsidRPr="00CB1763">
        <w:rPr>
          <w:rFonts w:cs="Arial"/>
          <w:sz w:val="24"/>
          <w:szCs w:val="24"/>
          <w:lang w:val="fr-CA"/>
        </w:rPr>
        <w:t xml:space="preserve">Pour la simple et bonne raison que nos commentaires sont trop nombreux pour être consignés </w:t>
      </w:r>
      <w:r w:rsidR="00737C8A" w:rsidRPr="00CB1763">
        <w:rPr>
          <w:rFonts w:cs="Arial"/>
          <w:sz w:val="24"/>
          <w:szCs w:val="24"/>
          <w:lang w:val="fr-CA"/>
        </w:rPr>
        <w:t>dans ce type de chiffrier</w:t>
      </w:r>
      <w:r w:rsidR="00B00AF0" w:rsidRPr="00CB1763">
        <w:rPr>
          <w:rFonts w:cs="Arial"/>
          <w:sz w:val="24"/>
          <w:szCs w:val="24"/>
          <w:lang w:val="fr-CA"/>
        </w:rPr>
        <w:t>.</w:t>
      </w:r>
      <w:r w:rsidR="00080CD0" w:rsidRPr="00CB1763">
        <w:rPr>
          <w:rFonts w:cs="Arial"/>
          <w:sz w:val="24"/>
          <w:szCs w:val="24"/>
          <w:lang w:val="fr-CA"/>
        </w:rPr>
        <w:t xml:space="preserve"> </w:t>
      </w:r>
      <w:r w:rsidR="0084780E" w:rsidRPr="00CB1763">
        <w:rPr>
          <w:rFonts w:cs="Arial"/>
          <w:sz w:val="24"/>
          <w:szCs w:val="24"/>
          <w:lang w:val="fr-CA"/>
        </w:rPr>
        <w:t>Nous avons de nombreuses raisons à invoquer pour justifier nos commentaires et nous voulions éviter tout malentendu faute d’avoir pu fournir suffisamment d’informations détaillées au Comité</w:t>
      </w:r>
      <w:r w:rsidR="00B00AF0" w:rsidRPr="00CB1763">
        <w:rPr>
          <w:rFonts w:cs="Arial"/>
          <w:sz w:val="24"/>
          <w:szCs w:val="24"/>
          <w:lang w:val="fr-CA"/>
        </w:rPr>
        <w:t>.</w:t>
      </w:r>
    </w:p>
    <w:p w:rsidR="00645A26" w:rsidRPr="00CB1763" w:rsidRDefault="00645A26" w:rsidP="00645A26">
      <w:pPr>
        <w:pStyle w:val="ListParagraph"/>
        <w:spacing w:before="240" w:after="240"/>
        <w:ind w:left="360"/>
        <w:rPr>
          <w:rFonts w:cs="Arial"/>
          <w:sz w:val="24"/>
          <w:szCs w:val="24"/>
          <w:lang w:val="fr-CA"/>
        </w:rPr>
      </w:pPr>
    </w:p>
    <w:p w:rsidR="00840709" w:rsidRPr="00CB1763" w:rsidRDefault="00737C8A" w:rsidP="00645A26">
      <w:pPr>
        <w:pStyle w:val="ListParagraph"/>
        <w:numPr>
          <w:ilvl w:val="0"/>
          <w:numId w:val="8"/>
        </w:numPr>
        <w:spacing w:before="240" w:after="240"/>
        <w:ind w:left="360"/>
        <w:rPr>
          <w:rFonts w:cs="Arial"/>
          <w:sz w:val="24"/>
          <w:szCs w:val="24"/>
          <w:lang w:val="fr-CA"/>
        </w:rPr>
      </w:pPr>
      <w:r w:rsidRPr="00CB1763">
        <w:rPr>
          <w:rFonts w:cs="Arial"/>
          <w:sz w:val="24"/>
          <w:szCs w:val="24"/>
          <w:lang w:val="fr-CA"/>
        </w:rPr>
        <w:t>L’ACSA</w:t>
      </w:r>
      <w:r w:rsidR="00840709" w:rsidRPr="00CB1763">
        <w:rPr>
          <w:rFonts w:cs="Arial"/>
          <w:sz w:val="24"/>
          <w:szCs w:val="24"/>
          <w:lang w:val="fr-CA"/>
        </w:rPr>
        <w:t xml:space="preserve"> </w:t>
      </w:r>
      <w:r w:rsidR="0084780E" w:rsidRPr="00CB1763">
        <w:rPr>
          <w:rFonts w:cs="Arial"/>
          <w:sz w:val="24"/>
          <w:szCs w:val="24"/>
          <w:lang w:val="fr-CA"/>
        </w:rPr>
        <w:t>reconnaît aussi que le Comité recevra des mémoires provenant de différentes sources. Nous ne croyons pas</w:t>
      </w:r>
      <w:r w:rsidR="001F6B9D" w:rsidRPr="00CB1763">
        <w:rPr>
          <w:rFonts w:cs="Arial"/>
          <w:sz w:val="24"/>
          <w:szCs w:val="24"/>
          <w:lang w:val="fr-CA"/>
        </w:rPr>
        <w:t xml:space="preserve"> qu’il soit de notre ressort de rédiger des dispositions type</w:t>
      </w:r>
      <w:r w:rsidR="00CF42C6">
        <w:rPr>
          <w:rFonts w:cs="Arial"/>
          <w:sz w:val="24"/>
          <w:szCs w:val="24"/>
          <w:lang w:val="fr-CA"/>
        </w:rPr>
        <w:t>s</w:t>
      </w:r>
      <w:r w:rsidR="001F6B9D" w:rsidRPr="00CB1763">
        <w:rPr>
          <w:rFonts w:cs="Arial"/>
          <w:sz w:val="24"/>
          <w:szCs w:val="24"/>
          <w:lang w:val="fr-CA"/>
        </w:rPr>
        <w:t xml:space="preserve"> à l’intention des membres du Comité, afin d’éviter de restreindre la capacité des membres</w:t>
      </w:r>
      <w:r w:rsidR="00840709" w:rsidRPr="00CB1763">
        <w:rPr>
          <w:rFonts w:cs="Arial"/>
          <w:sz w:val="24"/>
          <w:szCs w:val="24"/>
          <w:lang w:val="fr-CA"/>
        </w:rPr>
        <w:t xml:space="preserve"> </w:t>
      </w:r>
      <w:r w:rsidR="001F6B9D" w:rsidRPr="00CB1763">
        <w:rPr>
          <w:rFonts w:cs="Arial"/>
          <w:sz w:val="24"/>
          <w:szCs w:val="24"/>
          <w:lang w:val="fr-CA"/>
        </w:rPr>
        <w:t>de faire en sorte que le libellé du document soit cohérent</w:t>
      </w:r>
      <w:r w:rsidR="00840709" w:rsidRPr="00CB1763">
        <w:rPr>
          <w:rFonts w:cs="Arial"/>
          <w:sz w:val="24"/>
          <w:szCs w:val="24"/>
          <w:lang w:val="fr-CA"/>
        </w:rPr>
        <w:t xml:space="preserve"> </w:t>
      </w:r>
      <w:r w:rsidR="001F6B9D" w:rsidRPr="00CB1763">
        <w:rPr>
          <w:rFonts w:cs="Arial"/>
          <w:sz w:val="24"/>
          <w:szCs w:val="24"/>
          <w:lang w:val="fr-CA"/>
        </w:rPr>
        <w:t>et que les idées de l’ensemble des intervenants soient prises en considération</w:t>
      </w:r>
      <w:r w:rsidRPr="00CB1763">
        <w:rPr>
          <w:rFonts w:cs="Arial"/>
          <w:sz w:val="24"/>
          <w:szCs w:val="24"/>
          <w:lang w:val="fr-CA"/>
        </w:rPr>
        <w:t>.</w:t>
      </w:r>
    </w:p>
    <w:p w:rsidR="00645A26" w:rsidRPr="00CB1763" w:rsidRDefault="00662BAC" w:rsidP="00645A26">
      <w:pPr>
        <w:pStyle w:val="Heading1"/>
        <w:numPr>
          <w:ilvl w:val="0"/>
          <w:numId w:val="10"/>
        </w:numPr>
        <w:spacing w:before="240"/>
        <w:ind w:left="360" w:hanging="360"/>
        <w:rPr>
          <w:lang w:val="fr-CA"/>
        </w:rPr>
      </w:pPr>
      <w:bookmarkStart w:id="1" w:name="_Toc368318333"/>
      <w:r w:rsidRPr="00CB1763">
        <w:rPr>
          <w:lang w:val="fr-CA"/>
        </w:rPr>
        <w:t>L</w:t>
      </w:r>
      <w:r w:rsidR="00645A26" w:rsidRPr="00CB1763">
        <w:rPr>
          <w:lang w:val="fr-CA"/>
        </w:rPr>
        <w:t>e</w:t>
      </w:r>
      <w:r w:rsidRPr="00CB1763">
        <w:rPr>
          <w:lang w:val="fr-CA"/>
        </w:rPr>
        <w:t xml:space="preserve"> code de c</w:t>
      </w:r>
      <w:r w:rsidR="00645A26" w:rsidRPr="00CB1763">
        <w:rPr>
          <w:lang w:val="fr-CA"/>
        </w:rPr>
        <w:t>lassification</w:t>
      </w:r>
      <w:r w:rsidRPr="00CB1763">
        <w:rPr>
          <w:lang w:val="fr-CA"/>
        </w:rPr>
        <w:t xml:space="preserve"> du CIP</w:t>
      </w:r>
      <w:bookmarkEnd w:id="1"/>
    </w:p>
    <w:p w:rsidR="00E96FA9" w:rsidRPr="00CB1763" w:rsidRDefault="00AD00A3" w:rsidP="00645A26">
      <w:pPr>
        <w:pStyle w:val="Heading2"/>
        <w:numPr>
          <w:ilvl w:val="0"/>
          <w:numId w:val="11"/>
        </w:numPr>
        <w:tabs>
          <w:tab w:val="left" w:pos="360"/>
        </w:tabs>
        <w:spacing w:before="120"/>
        <w:ind w:hanging="720"/>
        <w:rPr>
          <w:lang w:val="fr-CA"/>
        </w:rPr>
      </w:pPr>
      <w:bookmarkStart w:id="2" w:name="_Toc368318334"/>
      <w:r w:rsidRPr="00CB1763">
        <w:rPr>
          <w:lang w:val="fr-CA"/>
        </w:rPr>
        <w:t>Classification internationale</w:t>
      </w:r>
      <w:r w:rsidR="006C0E44" w:rsidRPr="00CB1763">
        <w:rPr>
          <w:lang w:val="fr-CA"/>
        </w:rPr>
        <w:t xml:space="preserve"> </w:t>
      </w:r>
      <w:r w:rsidRPr="00CB1763">
        <w:rPr>
          <w:lang w:val="fr-CA"/>
        </w:rPr>
        <w:t>et Mouvement paralympique</w:t>
      </w:r>
      <w:r w:rsidR="00D6708E" w:rsidRPr="00CB1763">
        <w:rPr>
          <w:lang w:val="fr-CA"/>
        </w:rPr>
        <w:t xml:space="preserve"> (</w:t>
      </w:r>
      <w:r w:rsidR="007D5D83" w:rsidRPr="00CB1763">
        <w:rPr>
          <w:lang w:val="fr-CA"/>
        </w:rPr>
        <w:t>Section 2</w:t>
      </w:r>
      <w:r w:rsidR="00B00AF0" w:rsidRPr="00CB1763">
        <w:rPr>
          <w:lang w:val="fr-CA"/>
        </w:rPr>
        <w:t xml:space="preserve"> du Code</w:t>
      </w:r>
      <w:r w:rsidR="007D5D83" w:rsidRPr="00CB1763">
        <w:rPr>
          <w:lang w:val="fr-CA"/>
        </w:rPr>
        <w:t>)</w:t>
      </w:r>
      <w:bookmarkEnd w:id="2"/>
    </w:p>
    <w:p w:rsidR="007D5D83" w:rsidRPr="00CB1763" w:rsidRDefault="00737C8A" w:rsidP="00645A26">
      <w:pPr>
        <w:pStyle w:val="ListParagraph"/>
        <w:numPr>
          <w:ilvl w:val="0"/>
          <w:numId w:val="8"/>
        </w:numPr>
        <w:spacing w:before="120"/>
        <w:ind w:left="360"/>
        <w:rPr>
          <w:rFonts w:cs="Arial"/>
          <w:sz w:val="24"/>
          <w:szCs w:val="24"/>
          <w:lang w:val="fr-CA"/>
        </w:rPr>
      </w:pPr>
      <w:r w:rsidRPr="00CB1763">
        <w:rPr>
          <w:rFonts w:cs="Arial"/>
          <w:sz w:val="24"/>
          <w:szCs w:val="24"/>
          <w:lang w:val="fr-CA"/>
        </w:rPr>
        <w:t>L’ACSA est d’accord avec l’objectif établi à la</w:t>
      </w:r>
      <w:r w:rsidR="00C33FA6" w:rsidRPr="00CB1763">
        <w:rPr>
          <w:rFonts w:cs="Arial"/>
          <w:sz w:val="24"/>
          <w:szCs w:val="24"/>
          <w:lang w:val="fr-CA"/>
        </w:rPr>
        <w:t xml:space="preserve"> section 2.</w:t>
      </w:r>
      <w:r w:rsidR="00AB4229" w:rsidRPr="00CB1763">
        <w:rPr>
          <w:rFonts w:cs="Arial"/>
          <w:sz w:val="24"/>
          <w:szCs w:val="24"/>
          <w:lang w:val="fr-CA"/>
        </w:rPr>
        <w:t>1.</w:t>
      </w:r>
      <w:r w:rsidR="00C33FA6" w:rsidRPr="00CB1763">
        <w:rPr>
          <w:rFonts w:cs="Arial"/>
          <w:sz w:val="24"/>
          <w:szCs w:val="24"/>
          <w:lang w:val="fr-CA"/>
        </w:rPr>
        <w:t>2</w:t>
      </w:r>
      <w:r w:rsidRPr="00CB1763">
        <w:rPr>
          <w:rFonts w:cs="Arial"/>
          <w:sz w:val="24"/>
          <w:szCs w:val="24"/>
          <w:lang w:val="fr-CA"/>
        </w:rPr>
        <w:t>, à savoir que le système de</w:t>
      </w:r>
      <w:r w:rsidR="00C33FA6" w:rsidRPr="00CB1763">
        <w:rPr>
          <w:rFonts w:cs="Arial"/>
          <w:sz w:val="24"/>
          <w:szCs w:val="24"/>
          <w:lang w:val="fr-CA"/>
        </w:rPr>
        <w:t xml:space="preserve"> </w:t>
      </w:r>
      <w:r w:rsidR="00C7503F" w:rsidRPr="00CB1763">
        <w:rPr>
          <w:rFonts w:cs="Arial"/>
          <w:sz w:val="24"/>
          <w:szCs w:val="24"/>
          <w:lang w:val="fr-CA"/>
        </w:rPr>
        <w:t>c</w:t>
      </w:r>
      <w:r w:rsidRPr="00CB1763">
        <w:rPr>
          <w:rFonts w:cs="Arial"/>
          <w:sz w:val="24"/>
          <w:szCs w:val="24"/>
          <w:lang w:val="fr-CA"/>
        </w:rPr>
        <w:t>lassification</w:t>
      </w:r>
      <w:r w:rsidR="007D5D83" w:rsidRPr="00CB1763">
        <w:rPr>
          <w:rFonts w:cs="Arial"/>
          <w:sz w:val="24"/>
          <w:szCs w:val="24"/>
          <w:lang w:val="fr-CA"/>
        </w:rPr>
        <w:t xml:space="preserve"> </w:t>
      </w:r>
      <w:r w:rsidRPr="00CB1763">
        <w:rPr>
          <w:rFonts w:cs="Arial"/>
          <w:sz w:val="24"/>
          <w:szCs w:val="24"/>
          <w:lang w:val="fr-CA"/>
        </w:rPr>
        <w:t>doit permettre avant tout de déterminer l’admissibilité d’un athlète à compétitionner</w:t>
      </w:r>
      <w:r w:rsidR="00C33FA6" w:rsidRPr="00CB1763">
        <w:rPr>
          <w:rFonts w:cs="Arial"/>
          <w:sz w:val="24"/>
          <w:szCs w:val="24"/>
          <w:lang w:val="fr-CA"/>
        </w:rPr>
        <w:t xml:space="preserve"> </w:t>
      </w:r>
      <w:r w:rsidRPr="00CB1763">
        <w:rPr>
          <w:rFonts w:cs="Arial"/>
          <w:sz w:val="24"/>
          <w:szCs w:val="24"/>
          <w:lang w:val="fr-CA"/>
        </w:rPr>
        <w:t>et de regrouper les athlè</w:t>
      </w:r>
      <w:r w:rsidR="00C33FA6" w:rsidRPr="00CB1763">
        <w:rPr>
          <w:rFonts w:cs="Arial"/>
          <w:sz w:val="24"/>
          <w:szCs w:val="24"/>
          <w:lang w:val="fr-CA"/>
        </w:rPr>
        <w:t xml:space="preserve">tes </w:t>
      </w:r>
      <w:r w:rsidR="00BE2B8D" w:rsidRPr="00CB1763">
        <w:rPr>
          <w:rFonts w:cs="Arial"/>
          <w:sz w:val="24"/>
          <w:szCs w:val="24"/>
          <w:lang w:val="fr-CA"/>
        </w:rPr>
        <w:t>par catégorie, pour s’assurer que la compétition sera juste et équitable</w:t>
      </w:r>
      <w:r w:rsidRPr="00CB1763">
        <w:rPr>
          <w:rFonts w:cs="Arial"/>
          <w:sz w:val="24"/>
          <w:szCs w:val="24"/>
          <w:lang w:val="fr-CA"/>
        </w:rPr>
        <w:t>.</w:t>
      </w:r>
      <w:r w:rsidR="00C33FA6" w:rsidRPr="00CB1763">
        <w:rPr>
          <w:rFonts w:cs="Arial"/>
          <w:sz w:val="24"/>
          <w:szCs w:val="24"/>
          <w:lang w:val="fr-CA"/>
        </w:rPr>
        <w:t xml:space="preserve"> </w:t>
      </w:r>
      <w:r w:rsidRPr="00CB1763">
        <w:rPr>
          <w:rFonts w:cs="Arial"/>
          <w:sz w:val="24"/>
          <w:szCs w:val="24"/>
          <w:lang w:val="fr-CA"/>
        </w:rPr>
        <w:t>L’Association est d’accord aussi avec</w:t>
      </w:r>
      <w:r w:rsidR="007D5D83" w:rsidRPr="00CB1763">
        <w:rPr>
          <w:rFonts w:cs="Arial"/>
          <w:sz w:val="24"/>
          <w:szCs w:val="24"/>
          <w:lang w:val="fr-CA"/>
        </w:rPr>
        <w:t xml:space="preserve"> </w:t>
      </w:r>
      <w:r w:rsidR="00BE2B8D" w:rsidRPr="00CB1763">
        <w:rPr>
          <w:rFonts w:cs="Arial"/>
          <w:sz w:val="24"/>
          <w:szCs w:val="24"/>
          <w:lang w:val="fr-CA"/>
        </w:rPr>
        <w:t xml:space="preserve">la teneur de la </w:t>
      </w:r>
      <w:r w:rsidR="007D5D83" w:rsidRPr="00CB1763">
        <w:rPr>
          <w:rFonts w:cs="Arial"/>
          <w:sz w:val="24"/>
          <w:szCs w:val="24"/>
          <w:lang w:val="fr-CA"/>
        </w:rPr>
        <w:t>section 2.</w:t>
      </w:r>
      <w:r w:rsidR="00AB4229" w:rsidRPr="00CB1763">
        <w:rPr>
          <w:rFonts w:cs="Arial"/>
          <w:sz w:val="24"/>
          <w:szCs w:val="24"/>
          <w:lang w:val="fr-CA"/>
        </w:rPr>
        <w:t>2.</w:t>
      </w:r>
      <w:r w:rsidRPr="00CB1763">
        <w:rPr>
          <w:rFonts w:cs="Arial"/>
          <w:sz w:val="24"/>
          <w:szCs w:val="24"/>
          <w:lang w:val="fr-CA"/>
        </w:rPr>
        <w:t>4 du</w:t>
      </w:r>
      <w:r w:rsidR="007D5D83" w:rsidRPr="00CB1763">
        <w:rPr>
          <w:rFonts w:cs="Arial"/>
          <w:sz w:val="24"/>
          <w:szCs w:val="24"/>
          <w:lang w:val="fr-CA"/>
        </w:rPr>
        <w:t xml:space="preserve"> Code</w:t>
      </w:r>
      <w:r w:rsidRPr="00CB1763">
        <w:rPr>
          <w:rFonts w:cs="Arial"/>
          <w:sz w:val="24"/>
          <w:szCs w:val="24"/>
          <w:lang w:val="fr-CA"/>
        </w:rPr>
        <w:t> </w:t>
      </w:r>
      <w:r w:rsidR="007D5D83" w:rsidRPr="00CB1763">
        <w:rPr>
          <w:rFonts w:cs="Arial"/>
          <w:sz w:val="24"/>
          <w:szCs w:val="24"/>
          <w:lang w:val="fr-CA"/>
        </w:rPr>
        <w:t xml:space="preserve">: </w:t>
      </w:r>
    </w:p>
    <w:p w:rsidR="00B718FF" w:rsidRPr="00CB1763" w:rsidRDefault="00B718FF" w:rsidP="00F10A3D">
      <w:pPr>
        <w:autoSpaceDE w:val="0"/>
        <w:autoSpaceDN w:val="0"/>
        <w:adjustRightInd w:val="0"/>
        <w:spacing w:after="0" w:line="240" w:lineRule="auto"/>
        <w:ind w:left="1080"/>
        <w:rPr>
          <w:rFonts w:ascii="Arial" w:hAnsi="Arial" w:cs="Arial"/>
          <w:sz w:val="24"/>
          <w:szCs w:val="24"/>
          <w:lang w:val="fr-CA"/>
        </w:rPr>
      </w:pPr>
    </w:p>
    <w:p w:rsidR="007D5D83" w:rsidRPr="00CB1763" w:rsidRDefault="007D5D83" w:rsidP="00F10A3D">
      <w:pPr>
        <w:autoSpaceDE w:val="0"/>
        <w:autoSpaceDN w:val="0"/>
        <w:adjustRightInd w:val="0"/>
        <w:spacing w:after="0" w:line="240" w:lineRule="auto"/>
        <w:ind w:left="1080"/>
        <w:rPr>
          <w:rFonts w:ascii="Arial" w:hAnsi="Arial" w:cs="Arial"/>
          <w:sz w:val="24"/>
          <w:szCs w:val="24"/>
          <w:lang w:val="fr-CA"/>
        </w:rPr>
      </w:pPr>
      <w:r w:rsidRPr="00CB1763">
        <w:rPr>
          <w:rFonts w:ascii="Arial" w:hAnsi="Arial" w:cs="Arial"/>
          <w:sz w:val="24"/>
          <w:szCs w:val="24"/>
          <w:lang w:val="fr-CA"/>
        </w:rPr>
        <w:t>2.</w:t>
      </w:r>
      <w:r w:rsidR="00AB4229" w:rsidRPr="00CB1763">
        <w:rPr>
          <w:rFonts w:ascii="Arial" w:hAnsi="Arial" w:cs="Arial"/>
          <w:sz w:val="24"/>
          <w:szCs w:val="24"/>
          <w:lang w:val="fr-CA"/>
        </w:rPr>
        <w:t>2</w:t>
      </w:r>
      <w:r w:rsidR="0038231E" w:rsidRPr="00CB1763">
        <w:rPr>
          <w:rFonts w:ascii="Arial" w:hAnsi="Arial" w:cs="Arial"/>
          <w:sz w:val="24"/>
          <w:szCs w:val="24"/>
          <w:lang w:val="fr-CA"/>
        </w:rPr>
        <w:t>.</w:t>
      </w:r>
      <w:r w:rsidR="00BE2B8D" w:rsidRPr="00CB1763">
        <w:rPr>
          <w:rFonts w:ascii="Arial" w:hAnsi="Arial" w:cs="Arial"/>
          <w:sz w:val="24"/>
          <w:szCs w:val="24"/>
          <w:lang w:val="fr-CA"/>
        </w:rPr>
        <w:t>4 L</w:t>
      </w:r>
      <w:r w:rsidRPr="00CB1763">
        <w:rPr>
          <w:rFonts w:ascii="Arial" w:hAnsi="Arial" w:cs="Arial"/>
          <w:sz w:val="24"/>
          <w:szCs w:val="24"/>
          <w:lang w:val="fr-CA"/>
        </w:rPr>
        <w:t xml:space="preserve">e Code </w:t>
      </w:r>
      <w:r w:rsidR="00BE2B8D" w:rsidRPr="00CB1763">
        <w:rPr>
          <w:rFonts w:ascii="Arial" w:hAnsi="Arial" w:cs="Arial"/>
          <w:sz w:val="24"/>
          <w:szCs w:val="24"/>
          <w:lang w:val="fr-CA"/>
        </w:rPr>
        <w:t>établit une politique cohérente sur la c</w:t>
      </w:r>
      <w:r w:rsidRPr="00CB1763">
        <w:rPr>
          <w:rFonts w:ascii="Arial" w:hAnsi="Arial" w:cs="Arial"/>
          <w:sz w:val="24"/>
          <w:szCs w:val="24"/>
          <w:lang w:val="fr-CA"/>
        </w:rPr>
        <w:t xml:space="preserve">lassification, </w:t>
      </w:r>
      <w:r w:rsidR="00BE2B8D" w:rsidRPr="00CB1763">
        <w:rPr>
          <w:rFonts w:ascii="Arial" w:hAnsi="Arial" w:cs="Arial"/>
          <w:sz w:val="24"/>
          <w:szCs w:val="24"/>
          <w:lang w:val="fr-CA"/>
        </w:rPr>
        <w:t>plus précisément en ce qui a trait à ce qui suit </w:t>
      </w:r>
      <w:r w:rsidRPr="00CB1763">
        <w:rPr>
          <w:rFonts w:ascii="Arial" w:hAnsi="Arial" w:cs="Arial"/>
          <w:sz w:val="24"/>
          <w:szCs w:val="24"/>
          <w:lang w:val="fr-CA"/>
        </w:rPr>
        <w:t>:</w:t>
      </w:r>
      <w:r w:rsidR="005D2076" w:rsidRPr="00CB1763">
        <w:rPr>
          <w:rFonts w:ascii="Arial" w:hAnsi="Arial" w:cs="Arial"/>
          <w:sz w:val="24"/>
          <w:szCs w:val="24"/>
          <w:lang w:val="fr-CA"/>
        </w:rPr>
        <w:t> </w:t>
      </w:r>
    </w:p>
    <w:p w:rsidR="007D5D83" w:rsidRPr="00CB1763" w:rsidRDefault="007D5D83" w:rsidP="00F10A3D">
      <w:pPr>
        <w:autoSpaceDE w:val="0"/>
        <w:autoSpaceDN w:val="0"/>
        <w:adjustRightInd w:val="0"/>
        <w:spacing w:after="0" w:line="240" w:lineRule="auto"/>
        <w:ind w:left="360" w:firstLine="720"/>
        <w:rPr>
          <w:rFonts w:ascii="Arial" w:hAnsi="Arial" w:cs="Arial"/>
          <w:sz w:val="24"/>
          <w:szCs w:val="24"/>
          <w:lang w:val="fr-CA"/>
        </w:rPr>
      </w:pPr>
      <w:r w:rsidRPr="00CB1763">
        <w:rPr>
          <w:rFonts w:ascii="Arial" w:hAnsi="Arial" w:cs="Arial"/>
          <w:sz w:val="24"/>
          <w:szCs w:val="24"/>
          <w:lang w:val="fr-CA"/>
        </w:rPr>
        <w:t xml:space="preserve">• </w:t>
      </w:r>
      <w:r w:rsidR="005B4AE4" w:rsidRPr="00CB1763">
        <w:rPr>
          <w:rFonts w:ascii="Arial" w:hAnsi="Arial" w:cs="Arial"/>
          <w:sz w:val="24"/>
          <w:szCs w:val="24"/>
          <w:lang w:val="fr-CA"/>
        </w:rPr>
        <w:t>Mettre l’accent sur la responsabilité et l’esprit sportif</w:t>
      </w:r>
    </w:p>
    <w:p w:rsidR="007D5D83" w:rsidRPr="00CB1763" w:rsidRDefault="007D5D83" w:rsidP="005B4AE4">
      <w:pPr>
        <w:autoSpaceDE w:val="0"/>
        <w:autoSpaceDN w:val="0"/>
        <w:adjustRightInd w:val="0"/>
        <w:spacing w:after="0" w:line="240" w:lineRule="auto"/>
        <w:ind w:left="1080"/>
        <w:rPr>
          <w:rFonts w:ascii="Arial" w:hAnsi="Arial" w:cs="Arial"/>
          <w:sz w:val="24"/>
          <w:szCs w:val="24"/>
          <w:lang w:val="fr-CA"/>
        </w:rPr>
      </w:pPr>
      <w:r w:rsidRPr="00CB1763">
        <w:rPr>
          <w:rFonts w:ascii="Arial" w:hAnsi="Arial" w:cs="Arial"/>
          <w:sz w:val="24"/>
          <w:szCs w:val="24"/>
          <w:lang w:val="fr-CA"/>
        </w:rPr>
        <w:t xml:space="preserve">• </w:t>
      </w:r>
      <w:r w:rsidR="005B4AE4" w:rsidRPr="00CB1763">
        <w:rPr>
          <w:rFonts w:ascii="Arial" w:hAnsi="Arial" w:cs="Arial"/>
          <w:sz w:val="24"/>
          <w:szCs w:val="24"/>
          <w:lang w:val="fr-CA"/>
        </w:rPr>
        <w:t>La protection des droits de tous les athlètes et du personnel de classification</w:t>
      </w:r>
    </w:p>
    <w:p w:rsidR="007D5D83" w:rsidRPr="00CB1763" w:rsidRDefault="007D5D83" w:rsidP="00F10A3D">
      <w:pPr>
        <w:autoSpaceDE w:val="0"/>
        <w:autoSpaceDN w:val="0"/>
        <w:adjustRightInd w:val="0"/>
        <w:spacing w:after="0" w:line="240" w:lineRule="auto"/>
        <w:ind w:left="360" w:firstLine="720"/>
        <w:rPr>
          <w:rFonts w:ascii="Arial" w:hAnsi="Arial" w:cs="Arial"/>
          <w:sz w:val="24"/>
          <w:szCs w:val="24"/>
          <w:lang w:val="fr-CA"/>
        </w:rPr>
      </w:pPr>
      <w:r w:rsidRPr="00CB1763">
        <w:rPr>
          <w:rFonts w:ascii="Arial" w:hAnsi="Arial" w:cs="Arial"/>
          <w:sz w:val="24"/>
          <w:szCs w:val="24"/>
          <w:lang w:val="fr-CA"/>
        </w:rPr>
        <w:t xml:space="preserve">• </w:t>
      </w:r>
      <w:r w:rsidR="005B4AE4" w:rsidRPr="00CB1763">
        <w:rPr>
          <w:rFonts w:ascii="Arial" w:hAnsi="Arial" w:cs="Arial"/>
          <w:sz w:val="24"/>
          <w:szCs w:val="24"/>
          <w:lang w:val="fr-CA"/>
        </w:rPr>
        <w:t>L’évaluation des athlè</w:t>
      </w:r>
      <w:r w:rsidRPr="00CB1763">
        <w:rPr>
          <w:rFonts w:ascii="Arial" w:hAnsi="Arial" w:cs="Arial"/>
          <w:sz w:val="24"/>
          <w:szCs w:val="24"/>
          <w:lang w:val="fr-CA"/>
        </w:rPr>
        <w:t>tes</w:t>
      </w:r>
    </w:p>
    <w:p w:rsidR="007D5D83" w:rsidRPr="00CB1763" w:rsidRDefault="007D5D83" w:rsidP="00F10A3D">
      <w:pPr>
        <w:autoSpaceDE w:val="0"/>
        <w:autoSpaceDN w:val="0"/>
        <w:adjustRightInd w:val="0"/>
        <w:spacing w:after="0" w:line="240" w:lineRule="auto"/>
        <w:ind w:left="360" w:firstLine="720"/>
        <w:rPr>
          <w:rFonts w:ascii="Arial" w:hAnsi="Arial" w:cs="Arial"/>
          <w:sz w:val="24"/>
          <w:szCs w:val="24"/>
          <w:lang w:val="fr-CA"/>
        </w:rPr>
      </w:pPr>
      <w:r w:rsidRPr="00CB1763">
        <w:rPr>
          <w:rFonts w:ascii="Arial" w:hAnsi="Arial" w:cs="Arial"/>
          <w:sz w:val="24"/>
          <w:szCs w:val="24"/>
          <w:lang w:val="fr-CA"/>
        </w:rPr>
        <w:t xml:space="preserve">• </w:t>
      </w:r>
      <w:r w:rsidR="005B4AE4" w:rsidRPr="00CB1763">
        <w:rPr>
          <w:rFonts w:ascii="Arial" w:hAnsi="Arial" w:cs="Arial"/>
          <w:sz w:val="24"/>
          <w:szCs w:val="24"/>
          <w:lang w:val="fr-CA"/>
        </w:rPr>
        <w:t>Déterminer les catégories de sport et l’état de la situation</w:t>
      </w:r>
    </w:p>
    <w:p w:rsidR="007D5D83" w:rsidRPr="00CB1763" w:rsidRDefault="005D2076" w:rsidP="00F10A3D">
      <w:pPr>
        <w:autoSpaceDE w:val="0"/>
        <w:autoSpaceDN w:val="0"/>
        <w:adjustRightInd w:val="0"/>
        <w:spacing w:after="0" w:line="240" w:lineRule="auto"/>
        <w:ind w:left="360" w:firstLine="720"/>
        <w:rPr>
          <w:rFonts w:ascii="Arial" w:hAnsi="Arial" w:cs="Arial"/>
          <w:sz w:val="24"/>
          <w:szCs w:val="24"/>
          <w:lang w:val="fr-CA"/>
        </w:rPr>
      </w:pPr>
      <w:r w:rsidRPr="00CB1763">
        <w:rPr>
          <w:rFonts w:ascii="Arial" w:hAnsi="Arial" w:cs="Arial"/>
          <w:sz w:val="24"/>
          <w:szCs w:val="24"/>
          <w:lang w:val="fr-CA"/>
        </w:rPr>
        <w:t xml:space="preserve">• </w:t>
      </w:r>
      <w:r w:rsidR="005B4AE4" w:rsidRPr="00CB1763">
        <w:rPr>
          <w:rFonts w:ascii="Arial" w:hAnsi="Arial" w:cs="Arial"/>
          <w:sz w:val="24"/>
          <w:szCs w:val="24"/>
          <w:lang w:val="fr-CA"/>
        </w:rPr>
        <w:t>Les p</w:t>
      </w:r>
      <w:r w:rsidRPr="00CB1763">
        <w:rPr>
          <w:rFonts w:ascii="Arial" w:hAnsi="Arial" w:cs="Arial"/>
          <w:sz w:val="24"/>
          <w:szCs w:val="24"/>
          <w:lang w:val="fr-CA"/>
        </w:rPr>
        <w:t xml:space="preserve">rotêts et </w:t>
      </w:r>
      <w:r w:rsidR="005B4AE4" w:rsidRPr="00CB1763">
        <w:rPr>
          <w:rFonts w:ascii="Arial" w:hAnsi="Arial" w:cs="Arial"/>
          <w:sz w:val="24"/>
          <w:szCs w:val="24"/>
          <w:lang w:val="fr-CA"/>
        </w:rPr>
        <w:t xml:space="preserve">les </w:t>
      </w:r>
      <w:r w:rsidRPr="00CB1763">
        <w:rPr>
          <w:rFonts w:ascii="Arial" w:hAnsi="Arial" w:cs="Arial"/>
          <w:sz w:val="24"/>
          <w:szCs w:val="24"/>
          <w:lang w:val="fr-CA"/>
        </w:rPr>
        <w:t>appe</w:t>
      </w:r>
      <w:r w:rsidR="00CF42C6">
        <w:rPr>
          <w:rFonts w:ascii="Arial" w:hAnsi="Arial" w:cs="Arial"/>
          <w:sz w:val="24"/>
          <w:szCs w:val="24"/>
          <w:lang w:val="fr-CA"/>
        </w:rPr>
        <w:t>ls</w:t>
      </w:r>
    </w:p>
    <w:p w:rsidR="007D5D83" w:rsidRPr="00CB1763" w:rsidRDefault="007D5D83" w:rsidP="007D5D83">
      <w:pPr>
        <w:autoSpaceDE w:val="0"/>
        <w:autoSpaceDN w:val="0"/>
        <w:adjustRightInd w:val="0"/>
        <w:spacing w:after="0" w:line="240" w:lineRule="auto"/>
        <w:rPr>
          <w:rFonts w:ascii="Arial" w:hAnsi="Arial" w:cs="Arial"/>
          <w:sz w:val="24"/>
          <w:szCs w:val="24"/>
          <w:lang w:val="fr-CA"/>
        </w:rPr>
      </w:pPr>
    </w:p>
    <w:p w:rsidR="0024063B" w:rsidRPr="00CB1763" w:rsidRDefault="0093320D" w:rsidP="00B718FF">
      <w:pPr>
        <w:pStyle w:val="ListParagraph"/>
        <w:numPr>
          <w:ilvl w:val="0"/>
          <w:numId w:val="8"/>
        </w:numPr>
        <w:tabs>
          <w:tab w:val="left" w:pos="360"/>
        </w:tabs>
        <w:autoSpaceDE w:val="0"/>
        <w:autoSpaceDN w:val="0"/>
        <w:adjustRightInd w:val="0"/>
        <w:ind w:left="360"/>
        <w:rPr>
          <w:rFonts w:cs="Arial"/>
          <w:sz w:val="24"/>
          <w:szCs w:val="24"/>
          <w:lang w:val="fr-CA"/>
        </w:rPr>
      </w:pPr>
      <w:r w:rsidRPr="00CB1763">
        <w:rPr>
          <w:rFonts w:cs="Arial"/>
          <w:sz w:val="24"/>
          <w:szCs w:val="24"/>
          <w:lang w:val="fr-CA"/>
        </w:rPr>
        <w:t>Ces dispositions,</w:t>
      </w:r>
      <w:r w:rsidR="00C620A3" w:rsidRPr="00CB1763">
        <w:rPr>
          <w:rFonts w:cs="Arial"/>
          <w:sz w:val="24"/>
          <w:szCs w:val="24"/>
          <w:lang w:val="fr-CA"/>
        </w:rPr>
        <w:t xml:space="preserve"> interprétées ensemble, laissent entendre que</w:t>
      </w:r>
      <w:r w:rsidR="000237DA" w:rsidRPr="00CB1763">
        <w:rPr>
          <w:rFonts w:cs="Arial"/>
          <w:sz w:val="24"/>
          <w:szCs w:val="24"/>
          <w:lang w:val="fr-CA"/>
        </w:rPr>
        <w:t xml:space="preserve"> </w:t>
      </w:r>
      <w:r w:rsidR="00C620A3" w:rsidRPr="00CB1763">
        <w:rPr>
          <w:rFonts w:cs="Arial"/>
          <w:sz w:val="24"/>
          <w:szCs w:val="24"/>
          <w:lang w:val="fr-CA"/>
        </w:rPr>
        <w:t>l’admissibilité à compétitionner</w:t>
      </w:r>
      <w:r w:rsidR="007D5D83" w:rsidRPr="00CB1763">
        <w:rPr>
          <w:rFonts w:cs="Arial"/>
          <w:sz w:val="24"/>
          <w:szCs w:val="24"/>
          <w:lang w:val="fr-CA"/>
        </w:rPr>
        <w:t xml:space="preserve"> </w:t>
      </w:r>
      <w:r w:rsidR="00C620A3" w:rsidRPr="00CB1763">
        <w:rPr>
          <w:rFonts w:cs="Arial"/>
          <w:sz w:val="24"/>
          <w:szCs w:val="24"/>
          <w:lang w:val="fr-CA"/>
        </w:rPr>
        <w:t>dans une catégorie spécifique devrait être déterminée dans le cadre du système de</w:t>
      </w:r>
      <w:r w:rsidR="007D5D83" w:rsidRPr="00CB1763">
        <w:rPr>
          <w:rFonts w:cs="Arial"/>
          <w:sz w:val="24"/>
          <w:szCs w:val="24"/>
          <w:lang w:val="fr-CA"/>
        </w:rPr>
        <w:t xml:space="preserve"> classification </w:t>
      </w:r>
      <w:r w:rsidR="00C620A3" w:rsidRPr="00CB1763">
        <w:rPr>
          <w:rFonts w:cs="Arial"/>
          <w:sz w:val="24"/>
          <w:szCs w:val="24"/>
          <w:lang w:val="fr-CA"/>
        </w:rPr>
        <w:t>seulement, sans</w:t>
      </w:r>
      <w:r w:rsidR="007D5D83" w:rsidRPr="00CB1763">
        <w:rPr>
          <w:rFonts w:cs="Arial"/>
          <w:sz w:val="24"/>
          <w:szCs w:val="24"/>
          <w:lang w:val="fr-CA"/>
        </w:rPr>
        <w:t xml:space="preserve"> </w:t>
      </w:r>
      <w:r w:rsidR="00C620A3" w:rsidRPr="00CB1763">
        <w:rPr>
          <w:rFonts w:cs="Arial"/>
          <w:sz w:val="24"/>
          <w:szCs w:val="24"/>
          <w:lang w:val="fr-CA"/>
        </w:rPr>
        <w:t>qu’aucun autre équipement ou dispositif n’entre en ligne de compte</w:t>
      </w:r>
      <w:r w:rsidR="00B13889" w:rsidRPr="00CB1763">
        <w:rPr>
          <w:rFonts w:cs="Arial"/>
          <w:sz w:val="24"/>
          <w:szCs w:val="24"/>
          <w:lang w:val="fr-CA"/>
        </w:rPr>
        <w:t xml:space="preserve">. </w:t>
      </w:r>
      <w:r w:rsidR="00C620A3" w:rsidRPr="00CB1763">
        <w:rPr>
          <w:rFonts w:cs="Arial"/>
          <w:sz w:val="24"/>
          <w:szCs w:val="24"/>
          <w:lang w:val="fr-CA"/>
        </w:rPr>
        <w:t xml:space="preserve">Les règlements de certaines fédérations internationales (FI), qui exigent que les athlètes portent des lunettes teintées </w:t>
      </w:r>
      <w:r w:rsidR="001B2007" w:rsidRPr="00CB1763">
        <w:rPr>
          <w:rFonts w:cs="Arial"/>
          <w:sz w:val="24"/>
          <w:szCs w:val="24"/>
          <w:lang w:val="fr-CA"/>
        </w:rPr>
        <w:t>pour s’assurer que les athlètes totalement aveugles le sont en réalité pendant la compétition,</w:t>
      </w:r>
      <w:r w:rsidR="00C33FA6" w:rsidRPr="00CB1763">
        <w:rPr>
          <w:rFonts w:cs="Arial"/>
          <w:sz w:val="24"/>
          <w:szCs w:val="24"/>
          <w:lang w:val="fr-CA"/>
        </w:rPr>
        <w:t xml:space="preserve"> </w:t>
      </w:r>
      <w:r w:rsidR="001B2007" w:rsidRPr="00CB1763">
        <w:rPr>
          <w:rFonts w:cs="Arial"/>
          <w:sz w:val="24"/>
          <w:szCs w:val="24"/>
          <w:lang w:val="fr-CA"/>
        </w:rPr>
        <w:t xml:space="preserve">soulèvent donc la question à savoir </w:t>
      </w:r>
      <w:r w:rsidR="00DF27EA" w:rsidRPr="00CB1763">
        <w:rPr>
          <w:rFonts w:cs="Arial"/>
          <w:sz w:val="24"/>
          <w:szCs w:val="24"/>
          <w:lang w:val="fr-CA"/>
        </w:rPr>
        <w:t>si le système de classification</w:t>
      </w:r>
      <w:r w:rsidR="00C33FA6" w:rsidRPr="00CB1763">
        <w:rPr>
          <w:rFonts w:cs="Arial"/>
          <w:sz w:val="24"/>
          <w:szCs w:val="24"/>
          <w:lang w:val="fr-CA"/>
        </w:rPr>
        <w:t xml:space="preserve"> </w:t>
      </w:r>
      <w:r w:rsidR="00350B90" w:rsidRPr="00CB1763">
        <w:rPr>
          <w:rFonts w:cs="Arial"/>
          <w:sz w:val="24"/>
          <w:szCs w:val="24"/>
          <w:lang w:val="fr-CA"/>
        </w:rPr>
        <w:t>favorise effectivement une compétition juste et équitable,</w:t>
      </w:r>
      <w:r w:rsidR="00C7503F" w:rsidRPr="00CB1763">
        <w:rPr>
          <w:rFonts w:cs="Arial"/>
          <w:sz w:val="24"/>
          <w:szCs w:val="24"/>
          <w:lang w:val="fr-CA"/>
        </w:rPr>
        <w:t xml:space="preserve"> </w:t>
      </w:r>
      <w:r w:rsidR="00350B90" w:rsidRPr="00CB1763">
        <w:rPr>
          <w:rFonts w:cs="Arial"/>
          <w:sz w:val="24"/>
          <w:szCs w:val="24"/>
          <w:lang w:val="fr-CA"/>
        </w:rPr>
        <w:t xml:space="preserve">étant donné que les FI qui </w:t>
      </w:r>
      <w:r w:rsidR="00350B90" w:rsidRPr="00CB1763">
        <w:rPr>
          <w:rFonts w:cs="Arial"/>
          <w:sz w:val="24"/>
          <w:szCs w:val="24"/>
          <w:lang w:val="fr-CA"/>
        </w:rPr>
        <w:lastRenderedPageBreak/>
        <w:t xml:space="preserve">préconisent le port de </w:t>
      </w:r>
      <w:r w:rsidR="00350B90" w:rsidRPr="00C31EFB">
        <w:rPr>
          <w:rFonts w:cs="Arial"/>
          <w:sz w:val="24"/>
          <w:szCs w:val="24"/>
          <w:lang w:val="fr-CA"/>
        </w:rPr>
        <w:t>lunettes teintées ne semblent pas elles-mêmes avoir pleinement confiance</w:t>
      </w:r>
      <w:r w:rsidR="00C7503F" w:rsidRPr="00C31EFB">
        <w:rPr>
          <w:rFonts w:cs="Arial"/>
          <w:sz w:val="24"/>
          <w:szCs w:val="24"/>
          <w:lang w:val="fr-CA"/>
        </w:rPr>
        <w:t xml:space="preserve"> </w:t>
      </w:r>
      <w:r w:rsidR="00350B90" w:rsidRPr="00C31EFB">
        <w:rPr>
          <w:rFonts w:cs="Arial"/>
          <w:sz w:val="24"/>
          <w:szCs w:val="24"/>
          <w:lang w:val="fr-CA"/>
        </w:rPr>
        <w:t>en ce syst</w:t>
      </w:r>
      <w:r w:rsidR="009D75BC" w:rsidRPr="00C31EFB">
        <w:rPr>
          <w:rFonts w:cs="Arial"/>
          <w:sz w:val="24"/>
          <w:szCs w:val="24"/>
          <w:lang w:val="fr-CA"/>
        </w:rPr>
        <w:t>ème</w:t>
      </w:r>
      <w:r w:rsidR="00B13889" w:rsidRPr="00C31EFB">
        <w:rPr>
          <w:rFonts w:cs="Arial"/>
          <w:sz w:val="24"/>
          <w:szCs w:val="24"/>
          <w:lang w:val="fr-CA"/>
        </w:rPr>
        <w:t>.</w:t>
      </w:r>
      <w:r w:rsidR="00DE3F14" w:rsidRPr="00C31EFB">
        <w:rPr>
          <w:rFonts w:cs="Arial"/>
          <w:sz w:val="24"/>
          <w:szCs w:val="24"/>
          <w:lang w:val="fr-CA"/>
        </w:rPr>
        <w:t xml:space="preserve"> </w:t>
      </w:r>
      <w:r w:rsidR="00AA4324" w:rsidRPr="00C31EFB">
        <w:rPr>
          <w:rFonts w:cs="Arial"/>
          <w:sz w:val="24"/>
          <w:szCs w:val="24"/>
          <w:lang w:val="fr-CA"/>
        </w:rPr>
        <w:t>Dans le même ordre d’idées,</w:t>
      </w:r>
      <w:r w:rsidR="00DE3F14" w:rsidRPr="00C31EFB">
        <w:rPr>
          <w:rFonts w:cs="Arial"/>
          <w:sz w:val="24"/>
          <w:szCs w:val="24"/>
          <w:lang w:val="fr-CA"/>
        </w:rPr>
        <w:t xml:space="preserve"> </w:t>
      </w:r>
      <w:r w:rsidR="005A6244" w:rsidRPr="00C31EFB">
        <w:rPr>
          <w:rFonts w:cs="Arial"/>
          <w:sz w:val="24"/>
          <w:szCs w:val="24"/>
          <w:lang w:val="fr-CA"/>
        </w:rPr>
        <w:t>le port de lunettes teintées, certains athlètes ayant une perception de la lumière et d’autres pas,</w:t>
      </w:r>
      <w:r w:rsidR="00DE3F14" w:rsidRPr="00C31EFB">
        <w:rPr>
          <w:rFonts w:cs="Arial"/>
          <w:sz w:val="24"/>
          <w:szCs w:val="24"/>
          <w:lang w:val="fr-CA"/>
        </w:rPr>
        <w:t xml:space="preserve"> </w:t>
      </w:r>
      <w:r w:rsidR="00E41E9E" w:rsidRPr="00C31EFB">
        <w:rPr>
          <w:rFonts w:cs="Arial"/>
          <w:sz w:val="24"/>
          <w:szCs w:val="24"/>
          <w:lang w:val="fr-CA"/>
        </w:rPr>
        <w:t>n’a aucun rapport avec</w:t>
      </w:r>
      <w:r w:rsidR="00DE3F14" w:rsidRPr="00C31EFB">
        <w:rPr>
          <w:rFonts w:cs="Arial"/>
          <w:sz w:val="24"/>
          <w:szCs w:val="24"/>
          <w:lang w:val="fr-CA"/>
        </w:rPr>
        <w:t xml:space="preserve"> </w:t>
      </w:r>
      <w:r w:rsidR="00977373" w:rsidRPr="00C31EFB">
        <w:rPr>
          <w:rFonts w:cs="Arial"/>
          <w:sz w:val="24"/>
          <w:szCs w:val="24"/>
          <w:lang w:val="fr-CA"/>
        </w:rPr>
        <w:t>la recherche fondée sur des preuves</w:t>
      </w:r>
      <w:r w:rsidR="00DE3F14" w:rsidRPr="00C31EFB">
        <w:rPr>
          <w:rFonts w:cs="Arial"/>
          <w:sz w:val="24"/>
          <w:szCs w:val="24"/>
          <w:lang w:val="fr-CA"/>
        </w:rPr>
        <w:t xml:space="preserve"> </w:t>
      </w:r>
      <w:r w:rsidR="00977373" w:rsidRPr="00C31EFB">
        <w:rPr>
          <w:rFonts w:cs="Arial"/>
          <w:sz w:val="24"/>
          <w:szCs w:val="24"/>
          <w:lang w:val="fr-CA"/>
        </w:rPr>
        <w:t>montrant qu’un athlète ayant une perception de la lumière a effectivement un certain avantage par rapport à un athlète qui n’en a aucune</w:t>
      </w:r>
      <w:r w:rsidR="00D6708E" w:rsidRPr="00C31EFB">
        <w:rPr>
          <w:rFonts w:cs="Arial"/>
          <w:sz w:val="24"/>
          <w:szCs w:val="24"/>
          <w:lang w:val="fr-CA"/>
        </w:rPr>
        <w:t xml:space="preserve">. </w:t>
      </w:r>
      <w:r w:rsidR="00E67C28" w:rsidRPr="00C31EFB">
        <w:rPr>
          <w:rFonts w:cs="Arial"/>
          <w:sz w:val="24"/>
          <w:szCs w:val="24"/>
          <w:lang w:val="fr-CA"/>
        </w:rPr>
        <w:t>Le système de classification doit permettre d’éviter la tricherie</w:t>
      </w:r>
      <w:r w:rsidR="00C31EFB">
        <w:rPr>
          <w:rFonts w:cs="Arial"/>
          <w:sz w:val="24"/>
          <w:szCs w:val="24"/>
          <w:lang w:val="fr-CA"/>
        </w:rPr>
        <w:t xml:space="preserve"> – </w:t>
      </w:r>
      <w:r w:rsidR="00E67C28" w:rsidRPr="00C31EFB">
        <w:rPr>
          <w:rFonts w:cs="Arial"/>
          <w:sz w:val="24"/>
          <w:szCs w:val="24"/>
          <w:lang w:val="fr-CA"/>
        </w:rPr>
        <w:t>la raison invoquée par certains pour justifier le port de lunettes.</w:t>
      </w:r>
      <w:r w:rsidR="00C33FA6" w:rsidRPr="00C31EFB">
        <w:rPr>
          <w:rFonts w:cs="Arial"/>
          <w:sz w:val="24"/>
          <w:szCs w:val="24"/>
          <w:lang w:val="fr-CA"/>
        </w:rPr>
        <w:t xml:space="preserve"> </w:t>
      </w:r>
      <w:r w:rsidR="00D869F7" w:rsidRPr="00C31EFB">
        <w:rPr>
          <w:rFonts w:cs="Arial"/>
          <w:sz w:val="24"/>
          <w:szCs w:val="24"/>
          <w:lang w:val="fr-CA"/>
        </w:rPr>
        <w:t>S’il existe une réelle préoccupation selon laquelle la tricherie est bel et bien présente au moment de déterminer l’admissibilité d’un athlète à compétitionner dans une catégorie donnée,</w:t>
      </w:r>
      <w:r w:rsidR="00C33FA6" w:rsidRPr="00C31EFB">
        <w:rPr>
          <w:rFonts w:cs="Arial"/>
          <w:sz w:val="24"/>
          <w:szCs w:val="24"/>
          <w:lang w:val="fr-CA"/>
        </w:rPr>
        <w:t xml:space="preserve"> </w:t>
      </w:r>
      <w:r w:rsidR="00D869F7" w:rsidRPr="00C31EFB">
        <w:rPr>
          <w:rFonts w:cs="Arial"/>
          <w:sz w:val="24"/>
          <w:szCs w:val="24"/>
          <w:lang w:val="fr-CA"/>
        </w:rPr>
        <w:t>le système de</w:t>
      </w:r>
      <w:r w:rsidR="00C33FA6" w:rsidRPr="00C31EFB">
        <w:rPr>
          <w:rFonts w:cs="Arial"/>
          <w:sz w:val="24"/>
          <w:szCs w:val="24"/>
          <w:lang w:val="fr-CA"/>
        </w:rPr>
        <w:t xml:space="preserve"> classification </w:t>
      </w:r>
      <w:r w:rsidR="00D869F7" w:rsidRPr="00C31EFB">
        <w:rPr>
          <w:rFonts w:cs="Arial"/>
          <w:sz w:val="24"/>
          <w:szCs w:val="24"/>
          <w:lang w:val="fr-CA"/>
        </w:rPr>
        <w:t>lui-même ou les règles de classification</w:t>
      </w:r>
      <w:r w:rsidR="007D5D83" w:rsidRPr="00C31EFB">
        <w:rPr>
          <w:rFonts w:cs="Arial"/>
          <w:sz w:val="24"/>
          <w:szCs w:val="24"/>
          <w:lang w:val="fr-CA"/>
        </w:rPr>
        <w:t xml:space="preserve"> </w:t>
      </w:r>
      <w:r w:rsidR="00D869F7" w:rsidRPr="00C31EFB">
        <w:rPr>
          <w:rFonts w:cs="Arial"/>
          <w:sz w:val="24"/>
          <w:szCs w:val="24"/>
          <w:lang w:val="fr-CA"/>
        </w:rPr>
        <w:t>de certaines FI devraient être modifiés complètement</w:t>
      </w:r>
      <w:r w:rsidR="00C33FA6" w:rsidRPr="00C31EFB">
        <w:rPr>
          <w:rFonts w:cs="Arial"/>
          <w:sz w:val="24"/>
          <w:szCs w:val="24"/>
          <w:lang w:val="fr-CA"/>
        </w:rPr>
        <w:t xml:space="preserve">, </w:t>
      </w:r>
      <w:r w:rsidR="0012488A" w:rsidRPr="00C31EFB">
        <w:rPr>
          <w:rFonts w:cs="Arial"/>
          <w:sz w:val="24"/>
          <w:szCs w:val="24"/>
          <w:lang w:val="fr-CA"/>
        </w:rPr>
        <w:t>plutôt que de chercher à mettre fin à la tricherie en exigeant des athlètes qu’ils portent</w:t>
      </w:r>
      <w:r w:rsidR="00C33FA6" w:rsidRPr="00C31EFB">
        <w:rPr>
          <w:rFonts w:cs="Arial"/>
          <w:sz w:val="24"/>
          <w:szCs w:val="24"/>
          <w:lang w:val="fr-CA"/>
        </w:rPr>
        <w:t xml:space="preserve"> </w:t>
      </w:r>
      <w:r w:rsidR="0012488A" w:rsidRPr="00C31EFB">
        <w:rPr>
          <w:rFonts w:cs="Arial"/>
          <w:sz w:val="24"/>
          <w:szCs w:val="24"/>
          <w:lang w:val="fr-CA"/>
        </w:rPr>
        <w:t>une pièce</w:t>
      </w:r>
      <w:r w:rsidR="0012488A" w:rsidRPr="00CB1763">
        <w:rPr>
          <w:rFonts w:cs="Arial"/>
          <w:sz w:val="24"/>
          <w:szCs w:val="24"/>
          <w:lang w:val="fr-CA"/>
        </w:rPr>
        <w:t xml:space="preserve"> d’équipement ou un accessoire supplémentaire</w:t>
      </w:r>
      <w:r w:rsidR="00B13889" w:rsidRPr="00CB1763">
        <w:rPr>
          <w:rFonts w:cs="Arial"/>
          <w:sz w:val="24"/>
          <w:szCs w:val="24"/>
          <w:lang w:val="fr-CA"/>
        </w:rPr>
        <w:t>.</w:t>
      </w:r>
    </w:p>
    <w:p w:rsidR="0024063B" w:rsidRPr="00CB1763" w:rsidRDefault="0024063B" w:rsidP="007D5D83">
      <w:pPr>
        <w:autoSpaceDE w:val="0"/>
        <w:autoSpaceDN w:val="0"/>
        <w:adjustRightInd w:val="0"/>
        <w:spacing w:after="0" w:line="240" w:lineRule="auto"/>
        <w:rPr>
          <w:rFonts w:ascii="Arial" w:hAnsi="Arial" w:cs="Arial"/>
          <w:sz w:val="24"/>
          <w:szCs w:val="24"/>
          <w:lang w:val="fr-CA"/>
        </w:rPr>
      </w:pPr>
    </w:p>
    <w:p w:rsidR="00D6708E" w:rsidRPr="00CB1763" w:rsidRDefault="0012488A" w:rsidP="00645A26">
      <w:pPr>
        <w:pStyle w:val="ListParagraph"/>
        <w:numPr>
          <w:ilvl w:val="0"/>
          <w:numId w:val="8"/>
        </w:numPr>
        <w:autoSpaceDE w:val="0"/>
        <w:autoSpaceDN w:val="0"/>
        <w:adjustRightInd w:val="0"/>
        <w:ind w:left="360"/>
        <w:rPr>
          <w:rFonts w:cs="Arial"/>
          <w:sz w:val="24"/>
          <w:szCs w:val="24"/>
          <w:lang w:val="fr-CA"/>
        </w:rPr>
      </w:pPr>
      <w:r w:rsidRPr="00CB1763">
        <w:rPr>
          <w:rFonts w:cs="Arial"/>
          <w:sz w:val="24"/>
          <w:szCs w:val="24"/>
          <w:lang w:val="fr-CA"/>
        </w:rPr>
        <w:t>Le système de classification</w:t>
      </w:r>
      <w:r w:rsidR="00DE3F14" w:rsidRPr="00CB1763">
        <w:rPr>
          <w:rFonts w:cs="Arial"/>
          <w:sz w:val="24"/>
          <w:szCs w:val="24"/>
          <w:lang w:val="fr-CA"/>
        </w:rPr>
        <w:t xml:space="preserve"> </w:t>
      </w:r>
      <w:r w:rsidR="00312203" w:rsidRPr="00CB1763">
        <w:rPr>
          <w:rFonts w:cs="Arial"/>
          <w:sz w:val="24"/>
          <w:szCs w:val="24"/>
          <w:lang w:val="fr-CA"/>
        </w:rPr>
        <w:t>devrait</w:t>
      </w:r>
      <w:r w:rsidR="00041BD5" w:rsidRPr="00CB1763">
        <w:rPr>
          <w:rFonts w:cs="Arial"/>
          <w:sz w:val="24"/>
          <w:szCs w:val="24"/>
          <w:lang w:val="fr-CA"/>
        </w:rPr>
        <w:t xml:space="preserve"> également permettre de classer les athlètes dont les capacités fonctionnelles sont loin d’être les mêmes dans des catégories différentes plutôt que de s’en remettre à un équipement quelconque</w:t>
      </w:r>
      <w:r w:rsidR="008D2E05" w:rsidRPr="00CB1763">
        <w:rPr>
          <w:rFonts w:cs="Arial"/>
          <w:sz w:val="24"/>
          <w:szCs w:val="24"/>
          <w:lang w:val="fr-CA"/>
        </w:rPr>
        <w:t xml:space="preserve">. </w:t>
      </w:r>
      <w:r w:rsidR="00041BD5" w:rsidRPr="00CB1763">
        <w:rPr>
          <w:rFonts w:cs="Arial"/>
          <w:sz w:val="24"/>
          <w:szCs w:val="24"/>
          <w:lang w:val="fr-CA"/>
        </w:rPr>
        <w:t>Pour y arriver, il suffirait de modifier</w:t>
      </w:r>
      <w:r w:rsidR="009B7F2E" w:rsidRPr="00CB1763">
        <w:rPr>
          <w:rFonts w:cs="Arial"/>
          <w:sz w:val="24"/>
          <w:szCs w:val="24"/>
          <w:lang w:val="fr-CA"/>
        </w:rPr>
        <w:t xml:space="preserve"> </w:t>
      </w:r>
      <w:r w:rsidR="00A84F2F" w:rsidRPr="00CB1763">
        <w:rPr>
          <w:rFonts w:cs="Arial"/>
          <w:sz w:val="24"/>
          <w:szCs w:val="24"/>
          <w:lang w:val="fr-CA"/>
        </w:rPr>
        <w:t>les dispositions</w:t>
      </w:r>
      <w:r w:rsidR="009B7F2E" w:rsidRPr="00CB1763">
        <w:rPr>
          <w:rFonts w:cs="Arial"/>
          <w:sz w:val="24"/>
          <w:szCs w:val="24"/>
          <w:lang w:val="fr-CA"/>
        </w:rPr>
        <w:t xml:space="preserve"> </w:t>
      </w:r>
      <w:r w:rsidR="00041BD5" w:rsidRPr="00CB1763">
        <w:rPr>
          <w:rFonts w:cs="Arial"/>
          <w:sz w:val="24"/>
          <w:szCs w:val="24"/>
          <w:lang w:val="fr-CA"/>
        </w:rPr>
        <w:t>de la</w:t>
      </w:r>
      <w:r w:rsidR="009B7F2E" w:rsidRPr="00CB1763">
        <w:rPr>
          <w:rFonts w:cs="Arial"/>
          <w:sz w:val="24"/>
          <w:szCs w:val="24"/>
          <w:lang w:val="fr-CA"/>
        </w:rPr>
        <w:t xml:space="preserve"> section 2.2 </w:t>
      </w:r>
      <w:r w:rsidR="00041BD5" w:rsidRPr="00CB1763">
        <w:rPr>
          <w:rFonts w:cs="Arial"/>
          <w:sz w:val="24"/>
          <w:szCs w:val="24"/>
          <w:lang w:val="fr-CA"/>
        </w:rPr>
        <w:t>ou d’ajouter une autre disposition au</w:t>
      </w:r>
      <w:r w:rsidR="00C7503F" w:rsidRPr="00CB1763">
        <w:rPr>
          <w:rFonts w:cs="Arial"/>
          <w:sz w:val="24"/>
          <w:szCs w:val="24"/>
          <w:lang w:val="fr-CA"/>
        </w:rPr>
        <w:t xml:space="preserve"> Code </w:t>
      </w:r>
      <w:r w:rsidR="00041BD5" w:rsidRPr="00CB1763">
        <w:rPr>
          <w:rFonts w:cs="Arial"/>
          <w:sz w:val="24"/>
          <w:szCs w:val="24"/>
          <w:lang w:val="fr-CA"/>
        </w:rPr>
        <w:t>interdisant l’utilisation de lunettes teintées ou autre équipement similaire.</w:t>
      </w:r>
      <w:r w:rsidR="00C7503F" w:rsidRPr="00CB1763">
        <w:rPr>
          <w:rFonts w:cs="Arial"/>
          <w:sz w:val="24"/>
          <w:szCs w:val="24"/>
          <w:lang w:val="fr-CA"/>
        </w:rPr>
        <w:t xml:space="preserve"> </w:t>
      </w:r>
      <w:r w:rsidR="009F2806" w:rsidRPr="00CB1763">
        <w:rPr>
          <w:rFonts w:cs="Arial"/>
          <w:sz w:val="24"/>
          <w:szCs w:val="24"/>
          <w:lang w:val="fr-CA"/>
        </w:rPr>
        <w:t>La seule exception serait que tous les athlètes seraient tenus de porter des cache-œil, peu importe la catégorie à laquelle ils appartiennent, notamment pour les compétitions de</w:t>
      </w:r>
      <w:r w:rsidR="007D5D83" w:rsidRPr="00CB1763">
        <w:rPr>
          <w:rFonts w:cs="Arial"/>
          <w:sz w:val="24"/>
          <w:szCs w:val="24"/>
          <w:lang w:val="fr-CA"/>
        </w:rPr>
        <w:t xml:space="preserve"> </w:t>
      </w:r>
      <w:r w:rsidR="00E67968" w:rsidRPr="00CB1763">
        <w:rPr>
          <w:rFonts w:cs="Arial"/>
          <w:sz w:val="24"/>
          <w:szCs w:val="24"/>
          <w:lang w:val="fr-CA"/>
        </w:rPr>
        <w:t>g</w:t>
      </w:r>
      <w:r w:rsidR="007D5D83" w:rsidRPr="00CB1763">
        <w:rPr>
          <w:rFonts w:cs="Arial"/>
          <w:sz w:val="24"/>
          <w:szCs w:val="24"/>
          <w:lang w:val="fr-CA"/>
        </w:rPr>
        <w:t>oalball</w:t>
      </w:r>
      <w:r w:rsidR="00945FFB" w:rsidRPr="00CB1763">
        <w:rPr>
          <w:rFonts w:cs="Arial"/>
          <w:sz w:val="24"/>
          <w:szCs w:val="24"/>
          <w:lang w:val="fr-CA"/>
        </w:rPr>
        <w:t>.</w:t>
      </w:r>
      <w:r w:rsidR="00C15F31" w:rsidRPr="00CB1763">
        <w:rPr>
          <w:rFonts w:cs="Arial"/>
          <w:sz w:val="24"/>
          <w:szCs w:val="24"/>
          <w:lang w:val="fr-CA"/>
        </w:rPr>
        <w:t xml:space="preserve"> </w:t>
      </w:r>
      <w:r w:rsidR="001001CA" w:rsidRPr="00CB1763">
        <w:rPr>
          <w:rFonts w:cs="Arial"/>
          <w:sz w:val="24"/>
          <w:szCs w:val="24"/>
          <w:lang w:val="fr-CA"/>
        </w:rPr>
        <w:t>Pour ce sport</w:t>
      </w:r>
      <w:r w:rsidR="00C15F31" w:rsidRPr="00CB1763">
        <w:rPr>
          <w:rFonts w:cs="Arial"/>
          <w:sz w:val="24"/>
          <w:szCs w:val="24"/>
          <w:lang w:val="fr-CA"/>
        </w:rPr>
        <w:t xml:space="preserve">, </w:t>
      </w:r>
      <w:r w:rsidR="007017F4" w:rsidRPr="00CB1763">
        <w:rPr>
          <w:rFonts w:cs="Arial"/>
          <w:sz w:val="24"/>
          <w:szCs w:val="24"/>
          <w:lang w:val="fr-CA"/>
        </w:rPr>
        <w:t>même les athlè</w:t>
      </w:r>
      <w:r w:rsidR="00C15F31" w:rsidRPr="00CB1763">
        <w:rPr>
          <w:rFonts w:cs="Arial"/>
          <w:sz w:val="24"/>
          <w:szCs w:val="24"/>
          <w:lang w:val="fr-CA"/>
        </w:rPr>
        <w:t xml:space="preserve">tes </w:t>
      </w:r>
      <w:r w:rsidR="001001CA" w:rsidRPr="00CB1763">
        <w:rPr>
          <w:rFonts w:cs="Arial"/>
          <w:sz w:val="24"/>
          <w:szCs w:val="24"/>
          <w:lang w:val="fr-CA"/>
        </w:rPr>
        <w:t>sans déficience visuelle seraient tenus de porter des cache-œil pour se conformer aux règlements établis dès le départ.</w:t>
      </w:r>
    </w:p>
    <w:p w:rsidR="00645A26" w:rsidRPr="00CB1763" w:rsidRDefault="00645A26" w:rsidP="00645A26">
      <w:pPr>
        <w:pStyle w:val="ListParagraph"/>
        <w:rPr>
          <w:rFonts w:cs="Arial"/>
          <w:sz w:val="24"/>
          <w:szCs w:val="24"/>
          <w:lang w:val="fr-CA"/>
        </w:rPr>
      </w:pPr>
    </w:p>
    <w:p w:rsidR="001B384B" w:rsidRPr="00CB1763" w:rsidRDefault="001001CA" w:rsidP="00645A26">
      <w:pPr>
        <w:pStyle w:val="ListParagraph"/>
        <w:numPr>
          <w:ilvl w:val="0"/>
          <w:numId w:val="8"/>
        </w:numPr>
        <w:spacing w:before="240" w:after="240"/>
        <w:ind w:left="360"/>
        <w:rPr>
          <w:rFonts w:cs="Arial"/>
          <w:sz w:val="24"/>
          <w:szCs w:val="24"/>
          <w:lang w:val="fr-CA"/>
        </w:rPr>
      </w:pPr>
      <w:r w:rsidRPr="00CB1763">
        <w:rPr>
          <w:rFonts w:cs="Arial"/>
          <w:sz w:val="24"/>
          <w:szCs w:val="24"/>
          <w:lang w:val="fr-CA"/>
        </w:rPr>
        <w:t>La s</w:t>
      </w:r>
      <w:r w:rsidR="007D5D83" w:rsidRPr="00CB1763">
        <w:rPr>
          <w:rFonts w:cs="Arial"/>
          <w:sz w:val="24"/>
          <w:szCs w:val="24"/>
          <w:lang w:val="fr-CA"/>
        </w:rPr>
        <w:t xml:space="preserve">ection </w:t>
      </w:r>
      <w:r w:rsidR="001B384B" w:rsidRPr="00CB1763">
        <w:rPr>
          <w:rFonts w:cs="Arial"/>
          <w:sz w:val="24"/>
          <w:szCs w:val="24"/>
          <w:lang w:val="fr-CA"/>
        </w:rPr>
        <w:t xml:space="preserve">2.1.1 </w:t>
      </w:r>
      <w:r w:rsidR="004045CA" w:rsidRPr="00CB1763">
        <w:rPr>
          <w:rFonts w:cs="Arial"/>
          <w:sz w:val="24"/>
          <w:szCs w:val="24"/>
          <w:lang w:val="fr-CA"/>
        </w:rPr>
        <w:t>stipule que la</w:t>
      </w:r>
      <w:r w:rsidR="007D5D83" w:rsidRPr="00CB1763">
        <w:rPr>
          <w:rFonts w:cs="Arial"/>
          <w:sz w:val="24"/>
          <w:szCs w:val="24"/>
          <w:lang w:val="fr-CA"/>
        </w:rPr>
        <w:t xml:space="preserve"> </w:t>
      </w:r>
      <w:r w:rsidR="004045CA" w:rsidRPr="00CB1763">
        <w:rPr>
          <w:rFonts w:cs="Arial"/>
          <w:sz w:val="24"/>
          <w:szCs w:val="24"/>
          <w:lang w:val="fr-CA"/>
        </w:rPr>
        <w:t>« c</w:t>
      </w:r>
      <w:r w:rsidR="001B384B" w:rsidRPr="00CB1763">
        <w:rPr>
          <w:rFonts w:cs="Arial"/>
          <w:sz w:val="24"/>
          <w:szCs w:val="24"/>
          <w:lang w:val="fr-CA"/>
        </w:rPr>
        <w:t xml:space="preserve">lassification </w:t>
      </w:r>
      <w:r w:rsidR="00C95EC7" w:rsidRPr="00CB1763">
        <w:rPr>
          <w:rFonts w:cs="Arial"/>
          <w:sz w:val="24"/>
          <w:szCs w:val="24"/>
          <w:lang w:val="fr-CA"/>
        </w:rPr>
        <w:t>est effectuée pour s’assurer que la déficience ou l’invalidité d’un athlète</w:t>
      </w:r>
      <w:r w:rsidR="00D324BA" w:rsidRPr="00CB1763">
        <w:rPr>
          <w:rFonts w:cs="Arial"/>
          <w:sz w:val="24"/>
          <w:szCs w:val="24"/>
          <w:lang w:val="fr-CA"/>
        </w:rPr>
        <w:t xml:space="preserve"> a un lien direct avec la</w:t>
      </w:r>
      <w:r w:rsidR="001B384B" w:rsidRPr="00CB1763">
        <w:rPr>
          <w:rFonts w:cs="Arial"/>
          <w:sz w:val="24"/>
          <w:szCs w:val="24"/>
          <w:lang w:val="fr-CA"/>
        </w:rPr>
        <w:t xml:space="preserve"> performance</w:t>
      </w:r>
      <w:r w:rsidR="00D324BA" w:rsidRPr="00CB1763">
        <w:rPr>
          <w:rFonts w:cs="Arial"/>
          <w:sz w:val="24"/>
          <w:szCs w:val="24"/>
          <w:lang w:val="fr-CA"/>
        </w:rPr>
        <w:t xml:space="preserve"> sportive et qu’il</w:t>
      </w:r>
      <w:r w:rsidR="001B384B" w:rsidRPr="00CB1763">
        <w:rPr>
          <w:rFonts w:cs="Arial"/>
          <w:sz w:val="24"/>
          <w:szCs w:val="24"/>
          <w:lang w:val="fr-CA"/>
        </w:rPr>
        <w:t xml:space="preserve"> </w:t>
      </w:r>
      <w:r w:rsidR="00D324BA" w:rsidRPr="00CB1763">
        <w:rPr>
          <w:rFonts w:cs="Arial"/>
          <w:sz w:val="24"/>
          <w:szCs w:val="24"/>
          <w:lang w:val="fr-CA"/>
        </w:rPr>
        <w:t>se mesure de façon équitable</w:t>
      </w:r>
      <w:r w:rsidR="007D5D83" w:rsidRPr="00CB1763">
        <w:rPr>
          <w:rFonts w:cs="Arial"/>
          <w:sz w:val="24"/>
          <w:szCs w:val="24"/>
          <w:lang w:val="fr-CA"/>
        </w:rPr>
        <w:t xml:space="preserve"> (sic)</w:t>
      </w:r>
      <w:r w:rsidR="008D2E05" w:rsidRPr="00CB1763">
        <w:rPr>
          <w:rFonts w:cs="Arial"/>
          <w:sz w:val="24"/>
          <w:szCs w:val="24"/>
          <w:lang w:val="fr-CA"/>
        </w:rPr>
        <w:t xml:space="preserve"> </w:t>
      </w:r>
      <w:r w:rsidR="00D324BA" w:rsidRPr="00CB1763">
        <w:rPr>
          <w:rFonts w:cs="Arial"/>
          <w:sz w:val="24"/>
          <w:szCs w:val="24"/>
          <w:lang w:val="fr-CA"/>
        </w:rPr>
        <w:t>aux autres athlè</w:t>
      </w:r>
      <w:r w:rsidR="001B384B" w:rsidRPr="00CB1763">
        <w:rPr>
          <w:rFonts w:cs="Arial"/>
          <w:sz w:val="24"/>
          <w:szCs w:val="24"/>
          <w:lang w:val="fr-CA"/>
        </w:rPr>
        <w:t>tes</w:t>
      </w:r>
      <w:r w:rsidR="004045CA" w:rsidRPr="00CB1763">
        <w:rPr>
          <w:rFonts w:cs="Arial"/>
          <w:sz w:val="24"/>
          <w:szCs w:val="24"/>
          <w:lang w:val="fr-CA"/>
        </w:rPr>
        <w:t xml:space="preserve"> ». </w:t>
      </w:r>
      <w:r w:rsidR="0039663F" w:rsidRPr="00CB1763">
        <w:rPr>
          <w:rFonts w:cs="Arial"/>
          <w:sz w:val="24"/>
          <w:szCs w:val="24"/>
          <w:lang w:val="fr-CA"/>
        </w:rPr>
        <w:t>À notre avis, cet énoncé ne suffit pas à faire en sorte que l’on tienne compte, au moment d’élaborer un système de classification pour les athlètes ayant une déficience visuelle/aveugles</w:t>
      </w:r>
      <w:r w:rsidR="002D3932" w:rsidRPr="00CB1763">
        <w:rPr>
          <w:rFonts w:cs="Arial"/>
          <w:sz w:val="24"/>
          <w:szCs w:val="24"/>
          <w:lang w:val="fr-CA"/>
        </w:rPr>
        <w:t>, de l’</w:t>
      </w:r>
      <w:r w:rsidR="001B384B" w:rsidRPr="00CB1763">
        <w:rPr>
          <w:rFonts w:cs="Arial"/>
          <w:sz w:val="24"/>
          <w:szCs w:val="24"/>
          <w:lang w:val="fr-CA"/>
        </w:rPr>
        <w:t xml:space="preserve">impact </w:t>
      </w:r>
      <w:r w:rsidR="00222E64" w:rsidRPr="00CB1763">
        <w:rPr>
          <w:rFonts w:cs="Arial"/>
          <w:sz w:val="24"/>
          <w:szCs w:val="24"/>
          <w:lang w:val="fr-CA"/>
        </w:rPr>
        <w:t>que peut avoir sur la performance sportive le moment où une telle déficience s’est manifestée</w:t>
      </w:r>
      <w:r w:rsidR="004045CA" w:rsidRPr="00CB1763">
        <w:rPr>
          <w:rFonts w:cs="Arial"/>
          <w:sz w:val="24"/>
          <w:szCs w:val="24"/>
          <w:lang w:val="fr-CA"/>
        </w:rPr>
        <w:t>.</w:t>
      </w:r>
    </w:p>
    <w:p w:rsidR="00F10A3D" w:rsidRPr="00CB1763" w:rsidRDefault="00F10A3D" w:rsidP="00B718FF">
      <w:pPr>
        <w:pStyle w:val="ListParagraph"/>
        <w:ind w:left="360" w:hanging="360"/>
        <w:rPr>
          <w:rFonts w:cs="Arial"/>
          <w:sz w:val="24"/>
          <w:szCs w:val="24"/>
          <w:lang w:val="fr-CA"/>
        </w:rPr>
      </w:pPr>
    </w:p>
    <w:p w:rsidR="008D2E05" w:rsidRPr="00CB1763" w:rsidRDefault="00945FFB" w:rsidP="00B718FF">
      <w:pPr>
        <w:pStyle w:val="ListParagraph"/>
        <w:numPr>
          <w:ilvl w:val="0"/>
          <w:numId w:val="8"/>
        </w:numPr>
        <w:ind w:left="360"/>
        <w:rPr>
          <w:rFonts w:cs="Arial"/>
          <w:sz w:val="24"/>
          <w:szCs w:val="24"/>
          <w:lang w:val="fr-CA"/>
        </w:rPr>
      </w:pPr>
      <w:r w:rsidRPr="00CB1763">
        <w:rPr>
          <w:rFonts w:cs="Arial"/>
          <w:sz w:val="24"/>
          <w:szCs w:val="24"/>
          <w:lang w:val="fr-CA"/>
        </w:rPr>
        <w:t xml:space="preserve">Le Groupe d’experts </w:t>
      </w:r>
      <w:r w:rsidR="001A3205">
        <w:rPr>
          <w:rFonts w:cs="Arial"/>
          <w:sz w:val="24"/>
          <w:szCs w:val="24"/>
          <w:lang w:val="fr-CA"/>
        </w:rPr>
        <w:t>d’</w:t>
      </w:r>
      <w:r w:rsidR="00762980" w:rsidRPr="001A3205">
        <w:rPr>
          <w:rFonts w:cs="Arial"/>
          <w:sz w:val="24"/>
          <w:szCs w:val="24"/>
          <w:lang w:val="fr-CA"/>
        </w:rPr>
        <w:t>Au Canada, le sport c’est pour la vie</w:t>
      </w:r>
      <w:r w:rsidR="00762980" w:rsidRPr="00CB1763">
        <w:rPr>
          <w:rFonts w:cs="Arial"/>
          <w:sz w:val="24"/>
          <w:szCs w:val="24"/>
          <w:lang w:val="fr-CA"/>
        </w:rPr>
        <w:t xml:space="preserve"> et du Modèle d</w:t>
      </w:r>
      <w:r w:rsidR="00C31EFB">
        <w:rPr>
          <w:rFonts w:cs="Arial"/>
          <w:sz w:val="24"/>
          <w:szCs w:val="24"/>
          <w:lang w:val="fr-CA"/>
        </w:rPr>
        <w:t>e développement à long terme de</w:t>
      </w:r>
      <w:r w:rsidR="00762980" w:rsidRPr="00CB1763">
        <w:rPr>
          <w:rFonts w:cs="Arial"/>
          <w:sz w:val="24"/>
          <w:szCs w:val="24"/>
          <w:lang w:val="fr-CA"/>
        </w:rPr>
        <w:t xml:space="preserve"> </w:t>
      </w:r>
      <w:r w:rsidR="00C31EFB">
        <w:rPr>
          <w:rFonts w:cs="Arial"/>
          <w:sz w:val="24"/>
          <w:szCs w:val="24"/>
          <w:lang w:val="fr-CA"/>
        </w:rPr>
        <w:t>l’</w:t>
      </w:r>
      <w:r w:rsidR="00762980" w:rsidRPr="00CB1763">
        <w:rPr>
          <w:rFonts w:cs="Arial"/>
          <w:sz w:val="24"/>
          <w:szCs w:val="24"/>
          <w:lang w:val="fr-CA"/>
        </w:rPr>
        <w:t>athlète</w:t>
      </w:r>
      <w:r w:rsidR="00D6708E" w:rsidRPr="00CB1763">
        <w:rPr>
          <w:rStyle w:val="FootnoteReference"/>
          <w:rFonts w:cs="Arial"/>
          <w:sz w:val="24"/>
          <w:szCs w:val="24"/>
          <w:lang w:val="fr-CA"/>
        </w:rPr>
        <w:footnoteReference w:id="1"/>
      </w:r>
      <w:r w:rsidR="00C15F31" w:rsidRPr="00CB1763">
        <w:rPr>
          <w:rFonts w:cs="Arial"/>
          <w:sz w:val="24"/>
          <w:szCs w:val="24"/>
          <w:lang w:val="fr-CA"/>
        </w:rPr>
        <w:t xml:space="preserve"> </w:t>
      </w:r>
      <w:r w:rsidR="00ED2381" w:rsidRPr="00CB1763">
        <w:rPr>
          <w:rFonts w:cs="Arial"/>
          <w:sz w:val="24"/>
          <w:szCs w:val="24"/>
          <w:lang w:val="fr-CA"/>
        </w:rPr>
        <w:t>insiste sur l’</w:t>
      </w:r>
      <w:r w:rsidR="00CF6E0A" w:rsidRPr="00CB1763">
        <w:rPr>
          <w:rFonts w:cs="Arial"/>
          <w:sz w:val="24"/>
          <w:szCs w:val="24"/>
          <w:lang w:val="fr-CA"/>
        </w:rPr>
        <w:t xml:space="preserve">importance </w:t>
      </w:r>
      <w:r w:rsidR="00ED2381" w:rsidRPr="00CB1763">
        <w:rPr>
          <w:rFonts w:cs="Arial"/>
          <w:sz w:val="24"/>
          <w:szCs w:val="24"/>
          <w:lang w:val="fr-CA"/>
        </w:rPr>
        <w:t>de développer le</w:t>
      </w:r>
      <w:r w:rsidR="007017F4" w:rsidRPr="00CB1763">
        <w:rPr>
          <w:rFonts w:cs="Arial"/>
          <w:sz w:val="24"/>
          <w:szCs w:val="24"/>
          <w:lang w:val="fr-CA"/>
        </w:rPr>
        <w:t xml:space="preserve"> savoir-faire physique</w:t>
      </w:r>
      <w:r w:rsidR="00CF6E0A" w:rsidRPr="00CB1763">
        <w:rPr>
          <w:rFonts w:cs="Arial"/>
          <w:sz w:val="24"/>
          <w:szCs w:val="24"/>
          <w:lang w:val="fr-CA"/>
        </w:rPr>
        <w:t xml:space="preserve"> (</w:t>
      </w:r>
      <w:r w:rsidR="00ED2381" w:rsidRPr="00CB1763">
        <w:rPr>
          <w:rFonts w:cs="Arial"/>
          <w:sz w:val="24"/>
          <w:szCs w:val="24"/>
          <w:lang w:val="fr-CA"/>
        </w:rPr>
        <w:t xml:space="preserve">avant </w:t>
      </w:r>
      <w:r w:rsidR="005B5594" w:rsidRPr="00CB1763">
        <w:rPr>
          <w:rFonts w:cs="Arial"/>
          <w:sz w:val="24"/>
          <w:szCs w:val="24"/>
          <w:lang w:val="fr-CA"/>
        </w:rPr>
        <w:t>la poussée de croissance à l’adolescence</w:t>
      </w:r>
      <w:r w:rsidR="00CF6E0A" w:rsidRPr="00CB1763">
        <w:rPr>
          <w:rFonts w:cs="Arial"/>
          <w:sz w:val="24"/>
          <w:szCs w:val="24"/>
          <w:lang w:val="fr-CA"/>
        </w:rPr>
        <w:t xml:space="preserve">) </w:t>
      </w:r>
      <w:r w:rsidR="005B5594" w:rsidRPr="00CB1763">
        <w:rPr>
          <w:rFonts w:cs="Arial"/>
          <w:sz w:val="24"/>
          <w:szCs w:val="24"/>
          <w:lang w:val="fr-CA"/>
        </w:rPr>
        <w:t>car il s’agit d’un facteur clé permettant à un athlète de</w:t>
      </w:r>
      <w:r w:rsidR="00E67968" w:rsidRPr="00CB1763">
        <w:rPr>
          <w:rFonts w:cs="Arial"/>
          <w:sz w:val="24"/>
          <w:szCs w:val="24"/>
          <w:lang w:val="fr-CA"/>
        </w:rPr>
        <w:t xml:space="preserve"> faire du mieux qu’il peut</w:t>
      </w:r>
      <w:r w:rsidR="00683842" w:rsidRPr="00CB1763">
        <w:rPr>
          <w:rFonts w:cs="Arial"/>
          <w:sz w:val="24"/>
          <w:szCs w:val="24"/>
          <w:lang w:val="fr-CA"/>
        </w:rPr>
        <w:t>.</w:t>
      </w:r>
    </w:p>
    <w:p w:rsidR="009A17E2" w:rsidRPr="00CB1763" w:rsidRDefault="009A17E2" w:rsidP="009A17E2">
      <w:pPr>
        <w:pStyle w:val="ListParagraph"/>
        <w:rPr>
          <w:rFonts w:cs="Arial"/>
          <w:sz w:val="24"/>
          <w:szCs w:val="24"/>
          <w:lang w:val="fr-CA"/>
        </w:rPr>
      </w:pPr>
    </w:p>
    <w:p w:rsidR="008D2E05" w:rsidRPr="00CB1763" w:rsidRDefault="005B5594" w:rsidP="009A17E2">
      <w:pPr>
        <w:spacing w:after="0" w:line="240" w:lineRule="auto"/>
        <w:ind w:left="1987" w:right="1354"/>
        <w:jc w:val="both"/>
        <w:rPr>
          <w:rFonts w:ascii="Arial" w:eastAsia="Times New Roman" w:hAnsi="Arial" w:cs="Arial"/>
          <w:sz w:val="24"/>
          <w:szCs w:val="24"/>
          <w:lang w:val="fr-CA" w:eastAsia="en-CA"/>
        </w:rPr>
      </w:pPr>
      <w:r w:rsidRPr="00CB1763">
        <w:rPr>
          <w:rFonts w:ascii="Arial" w:eastAsia="Times New Roman" w:hAnsi="Arial" w:cs="Arial"/>
          <w:sz w:val="24"/>
          <w:szCs w:val="24"/>
          <w:lang w:val="fr-CA" w:eastAsia="en-CA"/>
        </w:rPr>
        <w:t>Le savoir-faire physique</w:t>
      </w:r>
      <w:r w:rsidR="008D2E05" w:rsidRPr="00CB1763">
        <w:rPr>
          <w:rFonts w:ascii="Arial" w:eastAsia="Times New Roman" w:hAnsi="Arial" w:cs="Arial"/>
          <w:sz w:val="24"/>
          <w:szCs w:val="24"/>
          <w:lang w:val="fr-CA" w:eastAsia="en-CA"/>
        </w:rPr>
        <w:t xml:space="preserve"> </w:t>
      </w:r>
      <w:r w:rsidR="004045CA" w:rsidRPr="00CB1763">
        <w:rPr>
          <w:rFonts w:ascii="Arial" w:eastAsia="Times New Roman" w:hAnsi="Arial" w:cs="Arial"/>
          <w:sz w:val="24"/>
          <w:szCs w:val="24"/>
          <w:lang w:val="fr-CA" w:eastAsia="en-CA"/>
        </w:rPr>
        <w:t>consiste à acquérir les habiletés de mouvement de base</w:t>
      </w:r>
      <w:r w:rsidR="008D2E05" w:rsidRPr="00CB1763">
        <w:rPr>
          <w:rFonts w:ascii="Arial" w:eastAsia="Times New Roman" w:hAnsi="Arial" w:cs="Arial"/>
          <w:sz w:val="24"/>
          <w:szCs w:val="24"/>
          <w:lang w:val="fr-CA" w:eastAsia="en-CA"/>
        </w:rPr>
        <w:t xml:space="preserve"> </w:t>
      </w:r>
      <w:r w:rsidR="004045CA" w:rsidRPr="00CB1763">
        <w:rPr>
          <w:rFonts w:ascii="Arial" w:eastAsia="Times New Roman" w:hAnsi="Arial" w:cs="Arial"/>
          <w:sz w:val="24"/>
          <w:szCs w:val="24"/>
          <w:lang w:val="fr-CA" w:eastAsia="en-CA"/>
        </w:rPr>
        <w:t xml:space="preserve">de même que les habiletés fondamentales propres à un sport, permettant </w:t>
      </w:r>
      <w:r w:rsidR="00C3403A" w:rsidRPr="00CB1763">
        <w:rPr>
          <w:rFonts w:ascii="Arial" w:eastAsia="Times New Roman" w:hAnsi="Arial" w:cs="Arial"/>
          <w:sz w:val="24"/>
          <w:szCs w:val="24"/>
          <w:lang w:val="fr-CA" w:eastAsia="en-CA"/>
        </w:rPr>
        <w:t xml:space="preserve">à un enfant d’être conscient de son environnement et de </w:t>
      </w:r>
      <w:r w:rsidR="00C3403A" w:rsidRPr="00CB1763">
        <w:rPr>
          <w:rFonts w:ascii="Arial" w:eastAsia="Times New Roman" w:hAnsi="Arial" w:cs="Arial"/>
          <w:sz w:val="24"/>
          <w:szCs w:val="24"/>
          <w:lang w:val="fr-CA" w:eastAsia="en-CA"/>
        </w:rPr>
        <w:lastRenderedPageBreak/>
        <w:t>prendre des décisions appropriées, ce qui lui permet d’être à l’aise et de bouger avec confiance et maîtrise dans toutes sortes d’activités physiques</w:t>
      </w:r>
      <w:r w:rsidR="008D2E05" w:rsidRPr="00CB1763">
        <w:rPr>
          <w:rFonts w:ascii="Arial" w:eastAsia="Times New Roman" w:hAnsi="Arial" w:cs="Arial"/>
          <w:sz w:val="24"/>
          <w:szCs w:val="24"/>
          <w:lang w:val="fr-CA" w:eastAsia="en-CA"/>
        </w:rPr>
        <w:t xml:space="preserve">. </w:t>
      </w:r>
      <w:r w:rsidR="00341DEC" w:rsidRPr="00CB1763">
        <w:rPr>
          <w:rFonts w:ascii="Arial" w:eastAsia="Times New Roman" w:hAnsi="Arial" w:cs="Arial"/>
          <w:sz w:val="24"/>
          <w:szCs w:val="24"/>
          <w:lang w:val="fr-CA" w:eastAsia="en-CA"/>
        </w:rPr>
        <w:t xml:space="preserve">Ce savoir-faire favorise la </w:t>
      </w:r>
      <w:r w:rsidR="008D2E05" w:rsidRPr="00CB1763">
        <w:rPr>
          <w:rFonts w:ascii="Arial" w:eastAsia="Times New Roman" w:hAnsi="Arial" w:cs="Arial"/>
          <w:sz w:val="24"/>
          <w:szCs w:val="24"/>
          <w:lang w:val="fr-CA" w:eastAsia="en-CA"/>
        </w:rPr>
        <w:t>participation</w:t>
      </w:r>
      <w:r w:rsidR="00341DEC" w:rsidRPr="00CB1763">
        <w:rPr>
          <w:rFonts w:ascii="Arial" w:eastAsia="Times New Roman" w:hAnsi="Arial" w:cs="Arial"/>
          <w:sz w:val="24"/>
          <w:szCs w:val="24"/>
          <w:lang w:val="fr-CA" w:eastAsia="en-CA"/>
        </w:rPr>
        <w:t xml:space="preserve"> à long terme de même que la </w:t>
      </w:r>
      <w:r w:rsidR="008D2E05" w:rsidRPr="00CB1763">
        <w:rPr>
          <w:rFonts w:ascii="Arial" w:eastAsia="Times New Roman" w:hAnsi="Arial" w:cs="Arial"/>
          <w:sz w:val="24"/>
          <w:szCs w:val="24"/>
          <w:lang w:val="fr-CA" w:eastAsia="en-CA"/>
        </w:rPr>
        <w:t>performance</w:t>
      </w:r>
      <w:r w:rsidR="00341DEC" w:rsidRPr="00CB1763">
        <w:rPr>
          <w:rFonts w:ascii="Arial" w:eastAsia="Times New Roman" w:hAnsi="Arial" w:cs="Arial"/>
          <w:sz w:val="24"/>
          <w:szCs w:val="24"/>
          <w:lang w:val="fr-CA" w:eastAsia="en-CA"/>
        </w:rPr>
        <w:t xml:space="preserve"> sportive, au mieux des habiletés et des capacités de chacun</w:t>
      </w:r>
      <w:r w:rsidR="008D2E05" w:rsidRPr="00CB1763">
        <w:rPr>
          <w:rFonts w:ascii="Arial" w:eastAsia="Times New Roman" w:hAnsi="Arial" w:cs="Arial"/>
          <w:sz w:val="24"/>
          <w:szCs w:val="24"/>
          <w:lang w:val="fr-CA" w:eastAsia="en-CA"/>
        </w:rPr>
        <w:t>.</w:t>
      </w:r>
    </w:p>
    <w:p w:rsidR="008D2E05" w:rsidRPr="00CB1763" w:rsidRDefault="005B5594" w:rsidP="009A17E2">
      <w:pPr>
        <w:spacing w:before="100" w:beforeAutospacing="1" w:after="100" w:afterAutospacing="1" w:line="240" w:lineRule="auto"/>
        <w:ind w:left="1886" w:right="1354"/>
        <w:jc w:val="both"/>
        <w:rPr>
          <w:rFonts w:ascii="Arial" w:eastAsia="Times New Roman" w:hAnsi="Arial" w:cs="Arial"/>
          <w:sz w:val="24"/>
          <w:szCs w:val="24"/>
          <w:lang w:val="fr-CA" w:eastAsia="en-CA"/>
        </w:rPr>
      </w:pPr>
      <w:r w:rsidRPr="00CB1763">
        <w:rPr>
          <w:rFonts w:ascii="Arial" w:eastAsia="Times New Roman" w:hAnsi="Arial" w:cs="Arial"/>
          <w:sz w:val="24"/>
          <w:szCs w:val="24"/>
          <w:lang w:val="fr-CA" w:eastAsia="en-CA"/>
        </w:rPr>
        <w:t>Le savoir-faire physique</w:t>
      </w:r>
      <w:r w:rsidR="004045CA" w:rsidRPr="00CB1763">
        <w:rPr>
          <w:rFonts w:ascii="Arial" w:eastAsia="Times New Roman" w:hAnsi="Arial" w:cs="Arial"/>
          <w:sz w:val="24"/>
          <w:szCs w:val="24"/>
          <w:lang w:val="fr-CA" w:eastAsia="en-CA"/>
        </w:rPr>
        <w:t xml:space="preserve"> est la pierre angulaire</w:t>
      </w:r>
      <w:r w:rsidR="00341DEC" w:rsidRPr="00CB1763">
        <w:rPr>
          <w:rFonts w:ascii="Arial" w:eastAsia="Times New Roman" w:hAnsi="Arial" w:cs="Arial"/>
          <w:sz w:val="24"/>
          <w:szCs w:val="24"/>
          <w:lang w:val="fr-CA" w:eastAsia="en-CA"/>
        </w:rPr>
        <w:t xml:space="preserve"> du niveau de participation et</w:t>
      </w:r>
      <w:r w:rsidR="008D2E05" w:rsidRPr="00CB1763">
        <w:rPr>
          <w:rFonts w:ascii="Arial" w:eastAsia="Times New Roman" w:hAnsi="Arial" w:cs="Arial"/>
          <w:sz w:val="24"/>
          <w:szCs w:val="24"/>
          <w:lang w:val="fr-CA" w:eastAsia="en-CA"/>
        </w:rPr>
        <w:t xml:space="preserve"> </w:t>
      </w:r>
      <w:r w:rsidR="00341DEC" w:rsidRPr="00CB1763">
        <w:rPr>
          <w:rFonts w:ascii="Arial" w:eastAsia="Times New Roman" w:hAnsi="Arial" w:cs="Arial"/>
          <w:sz w:val="24"/>
          <w:szCs w:val="24"/>
          <w:lang w:val="fr-CA" w:eastAsia="en-CA"/>
        </w:rPr>
        <w:t>d’</w:t>
      </w:r>
      <w:r w:rsidR="008D2E05" w:rsidRPr="00CB1763">
        <w:rPr>
          <w:rFonts w:ascii="Arial" w:eastAsia="Times New Roman" w:hAnsi="Arial" w:cs="Arial"/>
          <w:sz w:val="24"/>
          <w:szCs w:val="24"/>
          <w:lang w:val="fr-CA" w:eastAsia="en-CA"/>
        </w:rPr>
        <w:t xml:space="preserve">excellence </w:t>
      </w:r>
      <w:r w:rsidR="00341DEC" w:rsidRPr="00CB1763">
        <w:rPr>
          <w:rFonts w:ascii="Arial" w:eastAsia="Times New Roman" w:hAnsi="Arial" w:cs="Arial"/>
          <w:sz w:val="24"/>
          <w:szCs w:val="24"/>
          <w:lang w:val="fr-CA" w:eastAsia="en-CA"/>
        </w:rPr>
        <w:t>en ce qui a trait à l’activité physique et au</w:t>
      </w:r>
      <w:r w:rsidR="008D2E05" w:rsidRPr="00CB1763">
        <w:rPr>
          <w:rFonts w:ascii="Arial" w:eastAsia="Times New Roman" w:hAnsi="Arial" w:cs="Arial"/>
          <w:sz w:val="24"/>
          <w:szCs w:val="24"/>
          <w:lang w:val="fr-CA" w:eastAsia="en-CA"/>
        </w:rPr>
        <w:t xml:space="preserve"> sport. </w:t>
      </w:r>
      <w:r w:rsidR="00341DEC" w:rsidRPr="00CB1763">
        <w:rPr>
          <w:rFonts w:ascii="Arial" w:eastAsia="Times New Roman" w:hAnsi="Arial" w:cs="Arial"/>
          <w:sz w:val="24"/>
          <w:szCs w:val="24"/>
          <w:lang w:val="fr-CA" w:eastAsia="en-CA"/>
        </w:rPr>
        <w:t>Théoriquement, le sav</w:t>
      </w:r>
      <w:r w:rsidR="00374424" w:rsidRPr="00CB1763">
        <w:rPr>
          <w:rFonts w:ascii="Arial" w:eastAsia="Times New Roman" w:hAnsi="Arial" w:cs="Arial"/>
          <w:sz w:val="24"/>
          <w:szCs w:val="24"/>
          <w:lang w:val="fr-CA" w:eastAsia="en-CA"/>
        </w:rPr>
        <w:t>oir-faire physique devrait être acquis avant la poussée de croissance à l’adolescence</w:t>
      </w:r>
      <w:r w:rsidR="008D2E05" w:rsidRPr="00CB1763">
        <w:rPr>
          <w:rFonts w:ascii="Arial" w:eastAsia="Times New Roman" w:hAnsi="Arial" w:cs="Arial"/>
          <w:sz w:val="24"/>
          <w:szCs w:val="24"/>
          <w:lang w:val="fr-CA" w:eastAsia="en-CA"/>
        </w:rPr>
        <w:t xml:space="preserve">. </w:t>
      </w:r>
      <w:r w:rsidR="00374424" w:rsidRPr="00CB1763">
        <w:rPr>
          <w:rFonts w:ascii="Arial" w:eastAsia="Times New Roman" w:hAnsi="Arial" w:cs="Arial"/>
          <w:sz w:val="24"/>
          <w:szCs w:val="24"/>
          <w:lang w:val="fr-CA" w:eastAsia="en-CA"/>
        </w:rPr>
        <w:t>Il est en quelque sorte le fondement du mouvement Au Canada, le sport c’est pour la vie</w:t>
      </w:r>
      <w:r w:rsidR="00D6708E" w:rsidRPr="00CB1763">
        <w:rPr>
          <w:rStyle w:val="FootnoteReference"/>
          <w:rFonts w:ascii="Arial" w:eastAsia="Times New Roman" w:hAnsi="Arial" w:cs="Arial"/>
          <w:sz w:val="24"/>
          <w:szCs w:val="24"/>
          <w:lang w:val="fr-CA" w:eastAsia="en-CA"/>
        </w:rPr>
        <w:footnoteReference w:id="2"/>
      </w:r>
      <w:r w:rsidR="00A20A61" w:rsidRPr="00CB1763">
        <w:rPr>
          <w:rFonts w:ascii="Arial" w:eastAsia="Times New Roman" w:hAnsi="Arial" w:cs="Arial"/>
          <w:sz w:val="24"/>
          <w:szCs w:val="24"/>
          <w:lang w:val="fr-CA" w:eastAsia="en-CA"/>
        </w:rPr>
        <w:t>.</w:t>
      </w:r>
    </w:p>
    <w:p w:rsidR="00114EF6" w:rsidRPr="00CB1763" w:rsidRDefault="005B5594" w:rsidP="00B718FF">
      <w:pPr>
        <w:pStyle w:val="ListParagraph"/>
        <w:numPr>
          <w:ilvl w:val="0"/>
          <w:numId w:val="8"/>
        </w:numPr>
        <w:tabs>
          <w:tab w:val="left" w:pos="6096"/>
        </w:tabs>
        <w:ind w:left="360"/>
        <w:rPr>
          <w:rFonts w:cs="Arial"/>
          <w:sz w:val="24"/>
          <w:szCs w:val="24"/>
          <w:lang w:val="fr-CA"/>
        </w:rPr>
      </w:pPr>
      <w:r w:rsidRPr="00CB1763">
        <w:rPr>
          <w:rFonts w:cs="Arial"/>
          <w:sz w:val="24"/>
          <w:szCs w:val="24"/>
          <w:lang w:val="fr-CA"/>
        </w:rPr>
        <w:t xml:space="preserve">Le </w:t>
      </w:r>
      <w:r w:rsidR="00114EF6" w:rsidRPr="00CB1763">
        <w:rPr>
          <w:rFonts w:cs="Arial"/>
          <w:sz w:val="24"/>
          <w:szCs w:val="24"/>
          <w:lang w:val="fr-CA"/>
        </w:rPr>
        <w:t>Group</w:t>
      </w:r>
      <w:r w:rsidRPr="00CB1763">
        <w:rPr>
          <w:rFonts w:cs="Arial"/>
          <w:sz w:val="24"/>
          <w:szCs w:val="24"/>
          <w:lang w:val="fr-CA"/>
        </w:rPr>
        <w:t>e d’experts</w:t>
      </w:r>
      <w:r w:rsidR="00114EF6" w:rsidRPr="00CB1763">
        <w:rPr>
          <w:rFonts w:cs="Arial"/>
          <w:sz w:val="24"/>
          <w:szCs w:val="24"/>
          <w:lang w:val="fr-CA"/>
        </w:rPr>
        <w:t xml:space="preserve"> </w:t>
      </w:r>
      <w:r w:rsidR="008C609C" w:rsidRPr="00CB1763">
        <w:rPr>
          <w:rFonts w:cs="Arial"/>
          <w:sz w:val="24"/>
          <w:szCs w:val="24"/>
          <w:lang w:val="fr-CA"/>
        </w:rPr>
        <w:t>insiste aussi sur le fait que le cerveau d’un enfant doit avoir atteint la maturité nécessaire</w:t>
      </w:r>
      <w:r w:rsidR="00114EF6" w:rsidRPr="00CB1763">
        <w:rPr>
          <w:rFonts w:cs="Arial"/>
          <w:sz w:val="24"/>
          <w:szCs w:val="24"/>
          <w:lang w:val="fr-CA"/>
        </w:rPr>
        <w:t xml:space="preserve"> (</w:t>
      </w:r>
      <w:r w:rsidR="008C609C" w:rsidRPr="00CB1763">
        <w:rPr>
          <w:rFonts w:cs="Arial"/>
          <w:sz w:val="24"/>
          <w:szCs w:val="24"/>
          <w:lang w:val="fr-CA"/>
        </w:rPr>
        <w:t>les cellules nerveuses doivent pouvoir faire les liens ou les connexions</w:t>
      </w:r>
      <w:r w:rsidR="00114EF6" w:rsidRPr="00CB1763">
        <w:rPr>
          <w:rFonts w:cs="Arial"/>
          <w:sz w:val="24"/>
          <w:szCs w:val="24"/>
          <w:lang w:val="fr-CA"/>
        </w:rPr>
        <w:t xml:space="preserve">) </w:t>
      </w:r>
      <w:r w:rsidR="008C609C" w:rsidRPr="00CB1763">
        <w:rPr>
          <w:rFonts w:cs="Arial"/>
          <w:sz w:val="24"/>
          <w:szCs w:val="24"/>
          <w:lang w:val="fr-CA"/>
        </w:rPr>
        <w:t>de même que son corps</w:t>
      </w:r>
      <w:r w:rsidR="00114EF6" w:rsidRPr="00CB1763">
        <w:rPr>
          <w:rFonts w:cs="Arial"/>
          <w:sz w:val="24"/>
          <w:szCs w:val="24"/>
          <w:lang w:val="fr-CA"/>
        </w:rPr>
        <w:t xml:space="preserve"> (</w:t>
      </w:r>
      <w:r w:rsidR="008C609C" w:rsidRPr="00CB1763">
        <w:rPr>
          <w:rFonts w:cs="Arial"/>
          <w:sz w:val="24"/>
          <w:szCs w:val="24"/>
          <w:lang w:val="fr-CA"/>
        </w:rPr>
        <w:t xml:space="preserve">les </w:t>
      </w:r>
      <w:r w:rsidR="00114EF6" w:rsidRPr="00CB1763">
        <w:rPr>
          <w:rFonts w:cs="Arial"/>
          <w:sz w:val="24"/>
          <w:szCs w:val="24"/>
          <w:lang w:val="fr-CA"/>
        </w:rPr>
        <w:t>muscles</w:t>
      </w:r>
      <w:r w:rsidR="008C609C" w:rsidRPr="00CB1763">
        <w:rPr>
          <w:rFonts w:cs="Arial"/>
          <w:sz w:val="24"/>
          <w:szCs w:val="24"/>
          <w:lang w:val="fr-CA"/>
        </w:rPr>
        <w:t xml:space="preserve"> doivent être suffisamment développés</w:t>
      </w:r>
      <w:r w:rsidR="00114EF6" w:rsidRPr="00CB1763">
        <w:rPr>
          <w:rFonts w:cs="Arial"/>
          <w:sz w:val="24"/>
          <w:szCs w:val="24"/>
          <w:lang w:val="fr-CA"/>
        </w:rPr>
        <w:t xml:space="preserve">) </w:t>
      </w:r>
      <w:r w:rsidR="00234E70" w:rsidRPr="00CB1763">
        <w:rPr>
          <w:rFonts w:cs="Arial"/>
          <w:sz w:val="24"/>
          <w:szCs w:val="24"/>
          <w:lang w:val="fr-CA"/>
        </w:rPr>
        <w:t>pour qu’il soit en mesure d’acquérir les habiletés de mouvement de base</w:t>
      </w:r>
      <w:r w:rsidR="00D6708E" w:rsidRPr="00CB1763">
        <w:rPr>
          <w:rStyle w:val="FootnoteReference"/>
          <w:rFonts w:cs="Arial"/>
          <w:sz w:val="24"/>
          <w:szCs w:val="24"/>
          <w:lang w:val="fr-CA"/>
        </w:rPr>
        <w:footnoteReference w:id="3"/>
      </w:r>
      <w:r w:rsidR="00234E70" w:rsidRPr="00CB1763">
        <w:rPr>
          <w:rFonts w:cs="Arial"/>
          <w:sz w:val="24"/>
          <w:szCs w:val="24"/>
          <w:lang w:val="fr-CA"/>
        </w:rPr>
        <w:t>.</w:t>
      </w:r>
      <w:r w:rsidR="00114EF6" w:rsidRPr="00CB1763">
        <w:rPr>
          <w:rFonts w:cs="Arial"/>
          <w:sz w:val="24"/>
          <w:szCs w:val="24"/>
          <w:lang w:val="fr-CA"/>
        </w:rPr>
        <w:t xml:space="preserve"> </w:t>
      </w:r>
      <w:r w:rsidR="006F3D1D" w:rsidRPr="00CB1763">
        <w:rPr>
          <w:rFonts w:cs="Arial"/>
          <w:sz w:val="24"/>
          <w:szCs w:val="24"/>
          <w:lang w:val="fr-CA"/>
        </w:rPr>
        <w:t>Le Groupe discute également du moment le plus approprié pour acquérir ces habiletés</w:t>
      </w:r>
      <w:r w:rsidR="00114EF6" w:rsidRPr="00CB1763">
        <w:rPr>
          <w:rFonts w:cs="Arial"/>
          <w:sz w:val="24"/>
          <w:szCs w:val="24"/>
          <w:lang w:val="fr-CA"/>
        </w:rPr>
        <w:t>.</w:t>
      </w:r>
    </w:p>
    <w:p w:rsidR="00D005F8" w:rsidRPr="00CB1763" w:rsidRDefault="00D005F8" w:rsidP="00B718FF">
      <w:pPr>
        <w:pStyle w:val="ListParagraph"/>
        <w:tabs>
          <w:tab w:val="left" w:pos="6096"/>
        </w:tabs>
        <w:ind w:left="360" w:hanging="360"/>
        <w:rPr>
          <w:rFonts w:cs="Arial"/>
          <w:sz w:val="24"/>
          <w:szCs w:val="24"/>
          <w:lang w:val="fr-CA"/>
        </w:rPr>
      </w:pPr>
    </w:p>
    <w:p w:rsidR="00B07F62" w:rsidRPr="00CB1763" w:rsidRDefault="005B5594" w:rsidP="00B718FF">
      <w:pPr>
        <w:pStyle w:val="ListParagraph"/>
        <w:numPr>
          <w:ilvl w:val="0"/>
          <w:numId w:val="8"/>
        </w:numPr>
        <w:tabs>
          <w:tab w:val="left" w:pos="6096"/>
        </w:tabs>
        <w:ind w:left="360"/>
        <w:rPr>
          <w:rFonts w:cs="Arial"/>
          <w:sz w:val="24"/>
          <w:szCs w:val="24"/>
          <w:lang w:val="fr-CA"/>
        </w:rPr>
      </w:pPr>
      <w:r w:rsidRPr="00CB1763">
        <w:rPr>
          <w:rFonts w:cs="Arial"/>
          <w:sz w:val="24"/>
          <w:szCs w:val="24"/>
          <w:lang w:val="fr-CA"/>
        </w:rPr>
        <w:t>Un autre</w:t>
      </w:r>
      <w:r w:rsidR="00114EF6" w:rsidRPr="00CB1763">
        <w:rPr>
          <w:rFonts w:cs="Arial"/>
          <w:sz w:val="24"/>
          <w:szCs w:val="24"/>
          <w:lang w:val="fr-CA"/>
        </w:rPr>
        <w:t xml:space="preserve"> document </w:t>
      </w:r>
      <w:r w:rsidR="006F3D1D" w:rsidRPr="00CB1763">
        <w:rPr>
          <w:rFonts w:cs="Arial"/>
          <w:sz w:val="24"/>
          <w:szCs w:val="24"/>
          <w:lang w:val="fr-CA"/>
        </w:rPr>
        <w:t>s’intéresse aux athlètes ayant un handicap. Il s’agit de « Devenir champion n’est pas une question de chance ».</w:t>
      </w:r>
    </w:p>
    <w:p w:rsidR="00114EF6" w:rsidRPr="00CB1763" w:rsidRDefault="00D005F8" w:rsidP="00D005F8">
      <w:pPr>
        <w:tabs>
          <w:tab w:val="left" w:pos="6096"/>
        </w:tabs>
        <w:spacing w:before="240"/>
        <w:ind w:left="1890" w:right="1350" w:hanging="1890"/>
        <w:jc w:val="both"/>
        <w:rPr>
          <w:rFonts w:ascii="Arial" w:hAnsi="Arial" w:cs="Arial"/>
          <w:sz w:val="24"/>
          <w:szCs w:val="24"/>
          <w:lang w:val="fr-CA"/>
        </w:rPr>
      </w:pPr>
      <w:r w:rsidRPr="00CB1763">
        <w:rPr>
          <w:rFonts w:ascii="Arial" w:hAnsi="Arial" w:cs="Arial"/>
          <w:sz w:val="24"/>
          <w:szCs w:val="24"/>
          <w:lang w:val="fr-CA"/>
        </w:rPr>
        <w:tab/>
      </w:r>
      <w:r w:rsidR="0045400F" w:rsidRPr="00CB1763">
        <w:rPr>
          <w:rFonts w:ascii="Arial" w:hAnsi="Arial" w:cs="Arial"/>
          <w:sz w:val="24"/>
          <w:szCs w:val="24"/>
          <w:lang w:val="fr-CA"/>
        </w:rPr>
        <w:t>« À mesure qu’ils évoluent vers l’âge adulte, les enfants et les jeunes passent par une série de stades qui ont une incidence sur le développement des capacités physiques,</w:t>
      </w:r>
      <w:r w:rsidR="00114EF6" w:rsidRPr="00CB1763">
        <w:rPr>
          <w:rFonts w:ascii="Arial" w:hAnsi="Arial" w:cs="Arial"/>
          <w:sz w:val="24"/>
          <w:szCs w:val="24"/>
          <w:lang w:val="fr-CA"/>
        </w:rPr>
        <w:t xml:space="preserve"> </w:t>
      </w:r>
      <w:r w:rsidR="0045400F" w:rsidRPr="00CB1763">
        <w:rPr>
          <w:rFonts w:ascii="Arial" w:hAnsi="Arial" w:cs="Arial"/>
          <w:sz w:val="24"/>
          <w:szCs w:val="24"/>
          <w:lang w:val="fr-CA"/>
        </w:rPr>
        <w:t>mentales, cognitives et émotionnelles dont ils ont besoin pour participer à des activités physiques et sportives</w:t>
      </w:r>
      <w:r w:rsidR="005B5594" w:rsidRPr="00CB1763">
        <w:rPr>
          <w:rFonts w:ascii="Arial" w:hAnsi="Arial" w:cs="Arial"/>
          <w:sz w:val="24"/>
          <w:szCs w:val="24"/>
          <w:lang w:val="fr-CA"/>
        </w:rPr>
        <w:t>.</w:t>
      </w:r>
      <w:r w:rsidR="00114EF6" w:rsidRPr="00CB1763">
        <w:rPr>
          <w:rFonts w:ascii="Arial" w:hAnsi="Arial" w:cs="Arial"/>
          <w:sz w:val="24"/>
          <w:szCs w:val="24"/>
          <w:lang w:val="fr-CA"/>
        </w:rPr>
        <w:t xml:space="preserve"> </w:t>
      </w:r>
      <w:r w:rsidR="0045400F" w:rsidRPr="00CB1763">
        <w:rPr>
          <w:rFonts w:ascii="Arial" w:hAnsi="Arial" w:cs="Arial"/>
          <w:sz w:val="24"/>
          <w:szCs w:val="24"/>
          <w:lang w:val="fr-CA"/>
        </w:rPr>
        <w:t>Ce fait s’applique aussi bien aux personnes non handicapées qu’à celles qui ont un handicap</w:t>
      </w:r>
      <w:r w:rsidR="00114EF6" w:rsidRPr="00CB1763">
        <w:rPr>
          <w:rFonts w:ascii="Arial" w:hAnsi="Arial" w:cs="Arial"/>
          <w:sz w:val="24"/>
          <w:szCs w:val="24"/>
          <w:lang w:val="fr-CA"/>
        </w:rPr>
        <w:t xml:space="preserve">, </w:t>
      </w:r>
      <w:r w:rsidR="0045400F" w:rsidRPr="00CB1763">
        <w:rPr>
          <w:rFonts w:ascii="Arial" w:hAnsi="Arial" w:cs="Arial"/>
          <w:sz w:val="24"/>
          <w:szCs w:val="24"/>
          <w:lang w:val="fr-CA"/>
        </w:rPr>
        <w:t>même si le rythme et l’ampleur du développement peuvent varier selon le type de handicap</w:t>
      </w:r>
      <w:r w:rsidR="00255FC8" w:rsidRPr="00CB1763">
        <w:rPr>
          <w:rStyle w:val="FootnoteReference"/>
          <w:rFonts w:ascii="Arial" w:hAnsi="Arial" w:cs="Arial"/>
          <w:sz w:val="24"/>
          <w:szCs w:val="24"/>
          <w:lang w:val="fr-CA"/>
        </w:rPr>
        <w:footnoteReference w:id="4"/>
      </w:r>
      <w:r w:rsidR="0019097E" w:rsidRPr="00CB1763">
        <w:rPr>
          <w:rFonts w:ascii="Arial" w:hAnsi="Arial" w:cs="Arial"/>
          <w:sz w:val="24"/>
          <w:szCs w:val="24"/>
          <w:lang w:val="fr-CA"/>
        </w:rPr>
        <w:t> ».</w:t>
      </w:r>
    </w:p>
    <w:p w:rsidR="00114EF6" w:rsidRPr="00CB1763" w:rsidRDefault="00A20A61" w:rsidP="002D3540">
      <w:pPr>
        <w:pStyle w:val="ListParagraph"/>
        <w:numPr>
          <w:ilvl w:val="0"/>
          <w:numId w:val="8"/>
        </w:numPr>
        <w:spacing w:line="360" w:lineRule="atLeast"/>
        <w:ind w:left="360"/>
        <w:rPr>
          <w:rFonts w:cs="Arial"/>
          <w:sz w:val="24"/>
          <w:szCs w:val="24"/>
          <w:lang w:val="fr-CA"/>
        </w:rPr>
      </w:pPr>
      <w:r w:rsidRPr="00CB1763">
        <w:rPr>
          <w:rFonts w:cs="Arial"/>
          <w:sz w:val="24"/>
          <w:szCs w:val="24"/>
          <w:lang w:val="fr-CA"/>
        </w:rPr>
        <w:lastRenderedPageBreak/>
        <w:t>Chez les enfants nés aveugles ou avec une déficience visuelle</w:t>
      </w:r>
      <w:r w:rsidR="00B07F62" w:rsidRPr="00CB1763">
        <w:rPr>
          <w:rFonts w:cs="Arial"/>
          <w:sz w:val="24"/>
          <w:szCs w:val="24"/>
          <w:lang w:val="fr-CA"/>
        </w:rPr>
        <w:t xml:space="preserve">, </w:t>
      </w:r>
      <w:r w:rsidR="008744FB" w:rsidRPr="00CB1763">
        <w:rPr>
          <w:rFonts w:cs="Arial"/>
          <w:sz w:val="24"/>
          <w:szCs w:val="24"/>
          <w:lang w:val="fr-CA"/>
        </w:rPr>
        <w:t xml:space="preserve">l’impact peut être significatif </w:t>
      </w:r>
      <w:r w:rsidR="00133F75" w:rsidRPr="00CB1763">
        <w:rPr>
          <w:rFonts w:cs="Arial"/>
          <w:sz w:val="24"/>
          <w:szCs w:val="24"/>
          <w:lang w:val="fr-CA"/>
        </w:rPr>
        <w:t>en ce qui a trait au moment où</w:t>
      </w:r>
      <w:r w:rsidR="00B07F62" w:rsidRPr="00CB1763">
        <w:rPr>
          <w:rFonts w:cs="Arial"/>
          <w:sz w:val="24"/>
          <w:szCs w:val="24"/>
          <w:lang w:val="fr-CA"/>
        </w:rPr>
        <w:t xml:space="preserve"> </w:t>
      </w:r>
      <w:r w:rsidR="00133F75" w:rsidRPr="00CB1763">
        <w:rPr>
          <w:rFonts w:cs="Arial"/>
          <w:sz w:val="24"/>
          <w:szCs w:val="24"/>
          <w:lang w:val="fr-CA"/>
        </w:rPr>
        <w:t xml:space="preserve">le cerveau et les </w:t>
      </w:r>
      <w:r w:rsidR="009B408B" w:rsidRPr="00CB1763">
        <w:rPr>
          <w:rFonts w:cs="Arial"/>
          <w:sz w:val="24"/>
          <w:szCs w:val="24"/>
          <w:lang w:val="fr-CA"/>
        </w:rPr>
        <w:t>muscles du corps sont prêts pour l’apprentissage moteur</w:t>
      </w:r>
      <w:r w:rsidR="00EE3F5A" w:rsidRPr="00CB1763">
        <w:rPr>
          <w:rFonts w:cs="Arial"/>
          <w:sz w:val="24"/>
          <w:szCs w:val="24"/>
          <w:lang w:val="fr-CA"/>
        </w:rPr>
        <w:t>.</w:t>
      </w:r>
    </w:p>
    <w:p w:rsidR="00B718FF" w:rsidRPr="00CB1763" w:rsidRDefault="00B718FF" w:rsidP="00645A26">
      <w:pPr>
        <w:pStyle w:val="ListParagraph"/>
        <w:spacing w:before="100" w:beforeAutospacing="1" w:after="100" w:afterAutospacing="1" w:line="360" w:lineRule="atLeast"/>
        <w:ind w:left="360" w:hanging="360"/>
        <w:rPr>
          <w:rFonts w:cs="Arial"/>
          <w:sz w:val="24"/>
          <w:szCs w:val="24"/>
          <w:lang w:val="fr-CA"/>
        </w:rPr>
      </w:pPr>
    </w:p>
    <w:p w:rsidR="001B384B" w:rsidRPr="001A3205" w:rsidRDefault="00B07F62" w:rsidP="001A3205">
      <w:pPr>
        <w:pStyle w:val="ListParagraph"/>
        <w:numPr>
          <w:ilvl w:val="0"/>
          <w:numId w:val="8"/>
        </w:numPr>
        <w:ind w:left="360"/>
        <w:rPr>
          <w:rFonts w:cs="Arial"/>
          <w:sz w:val="24"/>
          <w:szCs w:val="24"/>
          <w:lang w:val="fr-CA"/>
        </w:rPr>
      </w:pPr>
      <w:r w:rsidRPr="00CB1763">
        <w:rPr>
          <w:rFonts w:cs="Arial"/>
          <w:sz w:val="24"/>
          <w:szCs w:val="24"/>
          <w:lang w:val="fr-CA"/>
        </w:rPr>
        <w:t>Ferrell</w:t>
      </w:r>
      <w:r w:rsidR="00C9159B" w:rsidRPr="00CB1763">
        <w:rPr>
          <w:rStyle w:val="FootnoteReference"/>
          <w:rFonts w:cs="Arial"/>
          <w:sz w:val="24"/>
          <w:szCs w:val="24"/>
          <w:lang w:val="fr-CA"/>
        </w:rPr>
        <w:footnoteReference w:id="5"/>
      </w:r>
      <w:r w:rsidRPr="00CB1763">
        <w:rPr>
          <w:rFonts w:cs="Arial"/>
          <w:sz w:val="24"/>
          <w:szCs w:val="24"/>
          <w:lang w:val="fr-CA"/>
        </w:rPr>
        <w:t xml:space="preserve"> </w:t>
      </w:r>
      <w:r w:rsidR="00F75526" w:rsidRPr="00CB1763">
        <w:rPr>
          <w:rFonts w:cs="Arial"/>
          <w:sz w:val="24"/>
          <w:szCs w:val="24"/>
          <w:lang w:val="fr-CA"/>
        </w:rPr>
        <w:t>donne un bref aperçu de la façon dont une déficience visuelle qui se manifeste tôt chez l’enfant peut avoir un impact sur son développement moteur</w:t>
      </w:r>
      <w:r w:rsidR="00EE3F5A" w:rsidRPr="00CB1763">
        <w:rPr>
          <w:rFonts w:cs="Arial"/>
          <w:sz w:val="24"/>
          <w:szCs w:val="24"/>
          <w:lang w:val="fr-CA"/>
        </w:rPr>
        <w:t xml:space="preserve">. </w:t>
      </w:r>
      <w:r w:rsidR="00F75526" w:rsidRPr="00CB1763">
        <w:rPr>
          <w:rFonts w:cs="Arial"/>
          <w:sz w:val="24"/>
          <w:szCs w:val="24"/>
          <w:lang w:val="fr-CA"/>
        </w:rPr>
        <w:t>Ainsi, le fait de ne pouvoir fixer attentivement ses mains</w:t>
      </w:r>
      <w:r w:rsidR="001A3205">
        <w:rPr>
          <w:rFonts w:cs="Arial"/>
          <w:sz w:val="24"/>
          <w:szCs w:val="24"/>
          <w:lang w:val="fr-CA"/>
        </w:rPr>
        <w:t xml:space="preserve"> </w:t>
      </w:r>
      <w:r w:rsidR="003B3CDC" w:rsidRPr="001A3205">
        <w:rPr>
          <w:rFonts w:cs="Arial"/>
          <w:sz w:val="24"/>
          <w:szCs w:val="24"/>
          <w:lang w:val="fr-CA"/>
        </w:rPr>
        <w:t>(</w:t>
      </w:r>
      <w:r w:rsidR="00EE3F5A" w:rsidRPr="001A3205">
        <w:rPr>
          <w:rFonts w:cs="Arial"/>
          <w:sz w:val="24"/>
          <w:szCs w:val="24"/>
          <w:lang w:val="fr-CA"/>
        </w:rPr>
        <w:t>début de la prise de conscience de sa propre personne</w:t>
      </w:r>
      <w:r w:rsidR="003B3CDC" w:rsidRPr="001A3205">
        <w:rPr>
          <w:rFonts w:cs="Arial"/>
          <w:sz w:val="24"/>
          <w:szCs w:val="24"/>
          <w:lang w:val="fr-CA"/>
        </w:rPr>
        <w:t>)</w:t>
      </w:r>
      <w:r w:rsidR="00120202" w:rsidRPr="001A3205">
        <w:rPr>
          <w:rFonts w:cs="Arial"/>
          <w:sz w:val="24"/>
          <w:szCs w:val="24"/>
          <w:lang w:val="fr-CA"/>
        </w:rPr>
        <w:t xml:space="preserve"> </w:t>
      </w:r>
      <w:r w:rsidR="00F75526" w:rsidRPr="001A3205">
        <w:rPr>
          <w:rFonts w:cs="Arial"/>
          <w:sz w:val="24"/>
          <w:szCs w:val="24"/>
          <w:lang w:val="fr-CA"/>
        </w:rPr>
        <w:t>ni d’être porté à tourner la tête pour suivre un son</w:t>
      </w:r>
      <w:r w:rsidR="00120202" w:rsidRPr="001A3205">
        <w:rPr>
          <w:rFonts w:cs="Arial"/>
          <w:sz w:val="24"/>
          <w:szCs w:val="24"/>
          <w:lang w:val="fr-CA"/>
        </w:rPr>
        <w:t xml:space="preserve"> (</w:t>
      </w:r>
      <w:r w:rsidR="00F75526" w:rsidRPr="001A3205">
        <w:rPr>
          <w:rFonts w:cs="Arial"/>
          <w:sz w:val="24"/>
          <w:szCs w:val="24"/>
          <w:lang w:val="fr-CA"/>
        </w:rPr>
        <w:t>début du mouvement</w:t>
      </w:r>
      <w:r w:rsidR="00120202" w:rsidRPr="001A3205">
        <w:rPr>
          <w:rFonts w:cs="Arial"/>
          <w:sz w:val="24"/>
          <w:szCs w:val="24"/>
          <w:lang w:val="fr-CA"/>
        </w:rPr>
        <w:t xml:space="preserve"> </w:t>
      </w:r>
      <w:r w:rsidR="00F75526" w:rsidRPr="001A3205">
        <w:rPr>
          <w:rFonts w:cs="Arial"/>
          <w:sz w:val="24"/>
          <w:szCs w:val="24"/>
          <w:lang w:val="fr-CA"/>
        </w:rPr>
        <w:t>tête/corps</w:t>
      </w:r>
      <w:r w:rsidR="00120202" w:rsidRPr="001A3205">
        <w:rPr>
          <w:rFonts w:cs="Arial"/>
          <w:sz w:val="24"/>
          <w:szCs w:val="24"/>
          <w:lang w:val="fr-CA"/>
        </w:rPr>
        <w:t xml:space="preserve">) </w:t>
      </w:r>
      <w:r w:rsidR="00F75526" w:rsidRPr="001A3205">
        <w:rPr>
          <w:rFonts w:cs="Arial"/>
          <w:sz w:val="24"/>
          <w:szCs w:val="24"/>
          <w:lang w:val="fr-CA"/>
        </w:rPr>
        <w:t>ne son</w:t>
      </w:r>
      <w:r w:rsidR="004C085C" w:rsidRPr="001A3205">
        <w:rPr>
          <w:rFonts w:cs="Arial"/>
          <w:sz w:val="24"/>
          <w:szCs w:val="24"/>
          <w:lang w:val="fr-CA"/>
        </w:rPr>
        <w:t>t que deux des multiples étapes touchées par l’absence ou la diminution des stimuli</w:t>
      </w:r>
      <w:r w:rsidR="00A629EB" w:rsidRPr="001A3205">
        <w:rPr>
          <w:rFonts w:cs="Arial"/>
          <w:sz w:val="24"/>
          <w:szCs w:val="24"/>
          <w:lang w:val="fr-CA"/>
        </w:rPr>
        <w:t>.</w:t>
      </w:r>
      <w:r w:rsidR="001B384B" w:rsidRPr="001A3205">
        <w:rPr>
          <w:rFonts w:cs="Arial"/>
          <w:sz w:val="24"/>
          <w:szCs w:val="24"/>
          <w:lang w:val="fr-CA"/>
        </w:rPr>
        <w:t xml:space="preserve"> </w:t>
      </w:r>
      <w:r w:rsidR="007D5FB4" w:rsidRPr="001A3205">
        <w:rPr>
          <w:rFonts w:cs="Arial"/>
          <w:sz w:val="24"/>
          <w:szCs w:val="24"/>
          <w:lang w:val="fr-CA"/>
        </w:rPr>
        <w:t>Elle note également chez les enfants ayant une déficience visuelle une diminution marquée du tonus musculaire au ni</w:t>
      </w:r>
      <w:r w:rsidR="00D20EC6" w:rsidRPr="001A3205">
        <w:rPr>
          <w:rFonts w:cs="Arial"/>
          <w:sz w:val="24"/>
          <w:szCs w:val="24"/>
          <w:lang w:val="fr-CA"/>
        </w:rPr>
        <w:t>veau du tronc et des abdominaux, ce qui a une incidence sur l’équilibre, et qui résulte du manque de stimulation et du peu d’incitation à se soulever à l’aide de leurs bras et de leurs mains lorsqu’ils sont sur le ventre</w:t>
      </w:r>
      <w:r w:rsidR="002B60D1" w:rsidRPr="001A3205">
        <w:rPr>
          <w:rFonts w:cs="Arial"/>
          <w:sz w:val="24"/>
          <w:szCs w:val="24"/>
          <w:lang w:val="fr-CA"/>
        </w:rPr>
        <w:t xml:space="preserve">. </w:t>
      </w:r>
      <w:r w:rsidR="002E3AFF" w:rsidRPr="001A3205">
        <w:rPr>
          <w:rFonts w:cs="Arial"/>
          <w:sz w:val="24"/>
          <w:szCs w:val="24"/>
          <w:lang w:val="fr-CA"/>
        </w:rPr>
        <w:t>Non seulement y a-t-il un impact sur le mouvement en tant que tel mais l’apprentissage par l’observation est également touché</w:t>
      </w:r>
      <w:r w:rsidR="00120202" w:rsidRPr="001A3205">
        <w:rPr>
          <w:rFonts w:cs="Arial"/>
          <w:sz w:val="24"/>
          <w:szCs w:val="24"/>
          <w:lang w:val="fr-CA"/>
        </w:rPr>
        <w:t>.</w:t>
      </w:r>
    </w:p>
    <w:p w:rsidR="00B134D7" w:rsidRPr="00CB1763" w:rsidRDefault="004C044E" w:rsidP="00B718FF">
      <w:pPr>
        <w:spacing w:after="0"/>
        <w:ind w:left="1890" w:right="1260"/>
        <w:jc w:val="both"/>
        <w:rPr>
          <w:rFonts w:ascii="Arial" w:hAnsi="Arial" w:cs="Arial"/>
          <w:sz w:val="24"/>
          <w:szCs w:val="24"/>
          <w:lang w:val="fr-CA"/>
        </w:rPr>
      </w:pPr>
      <w:r w:rsidRPr="00CB1763">
        <w:rPr>
          <w:rFonts w:ascii="Arial" w:hAnsi="Arial" w:cs="Arial"/>
          <w:sz w:val="24"/>
          <w:szCs w:val="24"/>
          <w:lang w:val="fr-CA"/>
        </w:rPr>
        <w:t>« Le retard du développement le plus significatif chez les enfants ayant une déficience visuelle est au niveau du développement moteur</w:t>
      </w:r>
      <w:r w:rsidR="00A629EB" w:rsidRPr="00CB1763">
        <w:rPr>
          <w:rFonts w:ascii="Arial" w:hAnsi="Arial" w:cs="Arial"/>
          <w:sz w:val="24"/>
          <w:szCs w:val="24"/>
          <w:lang w:val="fr-CA"/>
        </w:rPr>
        <w:t>.</w:t>
      </w:r>
      <w:r w:rsidR="00C12218" w:rsidRPr="00CB1763">
        <w:rPr>
          <w:rFonts w:ascii="Arial" w:hAnsi="Arial" w:cs="Arial"/>
          <w:sz w:val="24"/>
          <w:szCs w:val="24"/>
          <w:lang w:val="fr-CA"/>
        </w:rPr>
        <w:t xml:space="preserve"> Étant donné que la vue est un sens lié à la motivation</w:t>
      </w:r>
      <w:r w:rsidR="00120202" w:rsidRPr="00CB1763">
        <w:rPr>
          <w:rFonts w:ascii="Arial" w:hAnsi="Arial" w:cs="Arial"/>
          <w:sz w:val="24"/>
          <w:szCs w:val="24"/>
          <w:lang w:val="fr-CA"/>
        </w:rPr>
        <w:t xml:space="preserve">, </w:t>
      </w:r>
      <w:r w:rsidR="00C12218" w:rsidRPr="00CB1763">
        <w:rPr>
          <w:rFonts w:ascii="Arial" w:hAnsi="Arial" w:cs="Arial"/>
          <w:sz w:val="24"/>
          <w:szCs w:val="24"/>
          <w:lang w:val="fr-CA"/>
        </w:rPr>
        <w:t>nombre des étapes du développement moteur</w:t>
      </w:r>
      <w:r w:rsidR="00120202" w:rsidRPr="00CB1763">
        <w:rPr>
          <w:rFonts w:ascii="Arial" w:hAnsi="Arial" w:cs="Arial"/>
          <w:sz w:val="24"/>
          <w:szCs w:val="24"/>
          <w:lang w:val="fr-CA"/>
        </w:rPr>
        <w:t xml:space="preserve"> (</w:t>
      </w:r>
      <w:r w:rsidR="00C12218" w:rsidRPr="00CB1763">
        <w:rPr>
          <w:rFonts w:ascii="Arial" w:hAnsi="Arial" w:cs="Arial"/>
          <w:sz w:val="24"/>
          <w:szCs w:val="24"/>
          <w:lang w:val="fr-CA"/>
        </w:rPr>
        <w:t>p. ex., les mouvements de la tête,</w:t>
      </w:r>
      <w:r w:rsidR="00120202" w:rsidRPr="00CB1763">
        <w:rPr>
          <w:rFonts w:ascii="Arial" w:hAnsi="Arial" w:cs="Arial"/>
          <w:sz w:val="24"/>
          <w:szCs w:val="24"/>
          <w:lang w:val="fr-CA"/>
        </w:rPr>
        <w:t xml:space="preserve"> </w:t>
      </w:r>
      <w:r w:rsidR="009A77B0" w:rsidRPr="00CB1763">
        <w:rPr>
          <w:rFonts w:ascii="Arial" w:hAnsi="Arial" w:cs="Arial"/>
          <w:sz w:val="24"/>
          <w:szCs w:val="24"/>
          <w:lang w:val="fr-CA"/>
        </w:rPr>
        <w:t>la posture droite,</w:t>
      </w:r>
      <w:r w:rsidR="00120202" w:rsidRPr="00CB1763">
        <w:rPr>
          <w:rFonts w:ascii="Arial" w:hAnsi="Arial" w:cs="Arial"/>
          <w:sz w:val="24"/>
          <w:szCs w:val="24"/>
          <w:lang w:val="fr-CA"/>
        </w:rPr>
        <w:t xml:space="preserve"> </w:t>
      </w:r>
      <w:r w:rsidR="009A77B0" w:rsidRPr="00CB1763">
        <w:rPr>
          <w:rFonts w:ascii="Arial" w:hAnsi="Arial" w:cs="Arial"/>
          <w:sz w:val="24"/>
          <w:szCs w:val="24"/>
          <w:lang w:val="fr-CA"/>
        </w:rPr>
        <w:t>le déplacement, les capacités locomotrices</w:t>
      </w:r>
      <w:r w:rsidR="00120202" w:rsidRPr="00CB1763">
        <w:rPr>
          <w:rFonts w:ascii="Arial" w:hAnsi="Arial" w:cs="Arial"/>
          <w:sz w:val="24"/>
          <w:szCs w:val="24"/>
          <w:lang w:val="fr-CA"/>
        </w:rPr>
        <w:t xml:space="preserve">) </w:t>
      </w:r>
      <w:r w:rsidR="009A77B0" w:rsidRPr="00CB1763">
        <w:rPr>
          <w:rFonts w:ascii="Arial" w:hAnsi="Arial" w:cs="Arial"/>
          <w:sz w:val="24"/>
          <w:szCs w:val="24"/>
          <w:lang w:val="fr-CA"/>
        </w:rPr>
        <w:t>ne sont pas franchies au moment où l’on s’y attendait</w:t>
      </w:r>
      <w:r w:rsidR="00B134D7" w:rsidRPr="00CB1763">
        <w:rPr>
          <w:rStyle w:val="FootnoteReference"/>
          <w:rFonts w:ascii="Arial" w:hAnsi="Arial" w:cs="Arial"/>
          <w:sz w:val="24"/>
          <w:szCs w:val="24"/>
          <w:lang w:val="fr-CA"/>
        </w:rPr>
        <w:footnoteReference w:id="6"/>
      </w:r>
      <w:r w:rsidRPr="00CB1763">
        <w:rPr>
          <w:rFonts w:ascii="Arial" w:hAnsi="Arial" w:cs="Arial"/>
          <w:sz w:val="24"/>
          <w:szCs w:val="24"/>
          <w:lang w:val="fr-CA"/>
        </w:rPr>
        <w:t> ».</w:t>
      </w:r>
    </w:p>
    <w:p w:rsidR="00B718FF" w:rsidRPr="00CB1763" w:rsidRDefault="00B718FF" w:rsidP="00B718FF">
      <w:pPr>
        <w:spacing w:after="0"/>
        <w:ind w:left="1890" w:right="1260"/>
        <w:jc w:val="both"/>
        <w:rPr>
          <w:rFonts w:ascii="Arial" w:hAnsi="Arial" w:cs="Arial"/>
          <w:sz w:val="24"/>
          <w:szCs w:val="24"/>
          <w:lang w:val="fr-CA"/>
        </w:rPr>
      </w:pPr>
    </w:p>
    <w:p w:rsidR="004555D0" w:rsidRPr="00CB1763" w:rsidRDefault="009A17E2" w:rsidP="00645A26">
      <w:pPr>
        <w:pStyle w:val="ListParagraph"/>
        <w:numPr>
          <w:ilvl w:val="0"/>
          <w:numId w:val="8"/>
        </w:numPr>
        <w:ind w:left="360"/>
        <w:rPr>
          <w:rFonts w:cs="Arial"/>
          <w:sz w:val="24"/>
          <w:szCs w:val="24"/>
          <w:lang w:val="fr-CA"/>
        </w:rPr>
      </w:pPr>
      <w:r w:rsidRPr="00CB1763">
        <w:rPr>
          <w:rFonts w:cs="Arial"/>
          <w:sz w:val="24"/>
          <w:szCs w:val="24"/>
          <w:lang w:val="fr-CA"/>
        </w:rPr>
        <w:t xml:space="preserve">Lieberman, </w:t>
      </w:r>
      <w:r w:rsidR="007C6BBB" w:rsidRPr="00CB1763">
        <w:rPr>
          <w:rFonts w:cs="Arial"/>
          <w:sz w:val="24"/>
          <w:szCs w:val="24"/>
          <w:lang w:val="fr-CA"/>
        </w:rPr>
        <w:t>Ponchiilia</w:t>
      </w:r>
      <w:r w:rsidR="00370B57" w:rsidRPr="00CB1763">
        <w:rPr>
          <w:rFonts w:cs="Arial"/>
          <w:sz w:val="24"/>
          <w:szCs w:val="24"/>
          <w:lang w:val="fr-CA"/>
        </w:rPr>
        <w:t xml:space="preserve"> </w:t>
      </w:r>
      <w:r w:rsidR="00A629EB" w:rsidRPr="00CB1763">
        <w:rPr>
          <w:rFonts w:cs="Arial"/>
          <w:sz w:val="24"/>
          <w:szCs w:val="24"/>
          <w:lang w:val="fr-CA"/>
        </w:rPr>
        <w:t>et</w:t>
      </w:r>
      <w:r w:rsidRPr="00CB1763">
        <w:rPr>
          <w:rFonts w:cs="Arial"/>
          <w:sz w:val="24"/>
          <w:szCs w:val="24"/>
          <w:lang w:val="fr-CA"/>
        </w:rPr>
        <w:t xml:space="preserve"> </w:t>
      </w:r>
      <w:r w:rsidR="007C6BBB" w:rsidRPr="00CB1763">
        <w:rPr>
          <w:rFonts w:cs="Arial"/>
          <w:sz w:val="24"/>
          <w:szCs w:val="24"/>
          <w:lang w:val="fr-CA"/>
        </w:rPr>
        <w:t>Ponchiilia</w:t>
      </w:r>
      <w:r w:rsidRPr="00CB1763">
        <w:rPr>
          <w:rFonts w:cs="Arial"/>
          <w:sz w:val="24"/>
          <w:szCs w:val="24"/>
          <w:lang w:val="fr-CA"/>
        </w:rPr>
        <w:t xml:space="preserve"> </w:t>
      </w:r>
      <w:r w:rsidR="00820777" w:rsidRPr="00CB1763">
        <w:rPr>
          <w:rFonts w:cs="Arial"/>
          <w:sz w:val="24"/>
          <w:szCs w:val="24"/>
          <w:lang w:val="fr-CA"/>
        </w:rPr>
        <w:t>font état d’un manque d’équilibre, au niveau du corps et de la tête, en raison du peu de stimulation à soulever la tête et à observer</w:t>
      </w:r>
      <w:r w:rsidR="00EE3F5A" w:rsidRPr="00CB1763">
        <w:rPr>
          <w:rFonts w:cs="Arial"/>
          <w:sz w:val="24"/>
          <w:szCs w:val="24"/>
          <w:lang w:val="fr-CA"/>
        </w:rPr>
        <w:t>.</w:t>
      </w:r>
      <w:r w:rsidR="00370B57" w:rsidRPr="00CB1763">
        <w:rPr>
          <w:rFonts w:cs="Arial"/>
          <w:sz w:val="24"/>
          <w:szCs w:val="24"/>
          <w:lang w:val="fr-CA"/>
        </w:rPr>
        <w:t xml:space="preserve"> </w:t>
      </w:r>
      <w:r w:rsidR="00D30407" w:rsidRPr="00CB1763">
        <w:rPr>
          <w:rFonts w:cs="Arial"/>
          <w:sz w:val="24"/>
          <w:szCs w:val="24"/>
          <w:lang w:val="fr-CA"/>
        </w:rPr>
        <w:t>Il peut également y avoir un impact sur les réactions de protection</w:t>
      </w:r>
      <w:r w:rsidR="00370B57" w:rsidRPr="00CB1763">
        <w:rPr>
          <w:rFonts w:cs="Arial"/>
          <w:sz w:val="24"/>
          <w:szCs w:val="24"/>
          <w:lang w:val="fr-CA"/>
        </w:rPr>
        <w:t xml:space="preserve"> (</w:t>
      </w:r>
      <w:r w:rsidR="00D30407" w:rsidRPr="00CB1763">
        <w:rPr>
          <w:rFonts w:cs="Arial"/>
          <w:sz w:val="24"/>
          <w:szCs w:val="24"/>
          <w:lang w:val="fr-CA"/>
        </w:rPr>
        <w:t>lorsque l’enfant tombe, par exemple)</w:t>
      </w:r>
      <w:r w:rsidR="00370B57" w:rsidRPr="00CB1763">
        <w:rPr>
          <w:rFonts w:cs="Arial"/>
          <w:sz w:val="24"/>
          <w:szCs w:val="24"/>
          <w:lang w:val="fr-CA"/>
        </w:rPr>
        <w:t xml:space="preserve">. </w:t>
      </w:r>
      <w:r w:rsidR="00D30407" w:rsidRPr="00CB1763">
        <w:rPr>
          <w:rFonts w:cs="Arial"/>
          <w:sz w:val="24"/>
          <w:szCs w:val="24"/>
          <w:lang w:val="fr-CA"/>
        </w:rPr>
        <w:t>Anthony (dans</w:t>
      </w:r>
      <w:r w:rsidR="004555D0" w:rsidRPr="00CB1763">
        <w:rPr>
          <w:rFonts w:cs="Arial"/>
          <w:sz w:val="24"/>
          <w:szCs w:val="24"/>
          <w:lang w:val="fr-CA"/>
        </w:rPr>
        <w:t xml:space="preserve"> </w:t>
      </w:r>
      <w:r w:rsidR="00EE3F5A" w:rsidRPr="00CB1763">
        <w:rPr>
          <w:rFonts w:cs="Arial"/>
          <w:sz w:val="24"/>
          <w:szCs w:val="24"/>
          <w:lang w:val="fr-CA"/>
        </w:rPr>
        <w:t>Lieberman, Ponchillia et</w:t>
      </w:r>
      <w:r w:rsidR="0027466B" w:rsidRPr="00CB1763">
        <w:rPr>
          <w:rFonts w:cs="Arial"/>
          <w:sz w:val="24"/>
          <w:szCs w:val="24"/>
          <w:lang w:val="fr-CA"/>
        </w:rPr>
        <w:t xml:space="preserve"> Ponchillia</w:t>
      </w:r>
      <w:r w:rsidR="004555D0" w:rsidRPr="00CB1763">
        <w:rPr>
          <w:rFonts w:cs="Arial"/>
          <w:sz w:val="24"/>
          <w:szCs w:val="24"/>
          <w:lang w:val="fr-CA"/>
        </w:rPr>
        <w:t xml:space="preserve">) </w:t>
      </w:r>
      <w:r w:rsidR="00A120B2" w:rsidRPr="00CB1763">
        <w:rPr>
          <w:rFonts w:cs="Arial"/>
          <w:sz w:val="24"/>
          <w:szCs w:val="24"/>
          <w:lang w:val="fr-CA"/>
        </w:rPr>
        <w:t>décrit brièvement également comment un réflexe de redressement compromis</w:t>
      </w:r>
      <w:r w:rsidR="004555D0" w:rsidRPr="00CB1763">
        <w:rPr>
          <w:rFonts w:cs="Arial"/>
          <w:sz w:val="24"/>
          <w:szCs w:val="24"/>
          <w:lang w:val="fr-CA"/>
        </w:rPr>
        <w:t xml:space="preserve"> (</w:t>
      </w:r>
      <w:r w:rsidR="00214E3E" w:rsidRPr="00CB1763">
        <w:rPr>
          <w:rFonts w:cs="Arial"/>
          <w:sz w:val="24"/>
          <w:szCs w:val="24"/>
          <w:lang w:val="fr-CA"/>
        </w:rPr>
        <w:t>qui se produit habituellement à 2 moi</w:t>
      </w:r>
      <w:r w:rsidR="004555D0" w:rsidRPr="00CB1763">
        <w:rPr>
          <w:rFonts w:cs="Arial"/>
          <w:sz w:val="24"/>
          <w:szCs w:val="24"/>
          <w:lang w:val="fr-CA"/>
        </w:rPr>
        <w:t xml:space="preserve">s) </w:t>
      </w:r>
      <w:r w:rsidR="00214E3E" w:rsidRPr="00CB1763">
        <w:rPr>
          <w:rFonts w:cs="Arial"/>
          <w:sz w:val="24"/>
          <w:szCs w:val="24"/>
          <w:lang w:val="fr-CA"/>
        </w:rPr>
        <w:t>a une incidence sur le développement des muscles du cou, du tronc et des membres supérieurs</w:t>
      </w:r>
      <w:r w:rsidR="00B134D7" w:rsidRPr="00CB1763">
        <w:rPr>
          <w:rStyle w:val="FootnoteReference"/>
          <w:rFonts w:cs="Arial"/>
          <w:sz w:val="24"/>
          <w:szCs w:val="24"/>
          <w:lang w:val="fr-CA"/>
        </w:rPr>
        <w:footnoteReference w:id="7"/>
      </w:r>
      <w:r w:rsidR="00214E3E" w:rsidRPr="00CB1763">
        <w:rPr>
          <w:rFonts w:cs="Arial"/>
          <w:sz w:val="24"/>
          <w:szCs w:val="24"/>
          <w:lang w:val="fr-CA"/>
        </w:rPr>
        <w:t>.</w:t>
      </w:r>
    </w:p>
    <w:p w:rsidR="00370B57" w:rsidRPr="00CB1763" w:rsidRDefault="002B60D1" w:rsidP="00645A26">
      <w:pPr>
        <w:pStyle w:val="NormalWeb"/>
        <w:numPr>
          <w:ilvl w:val="0"/>
          <w:numId w:val="8"/>
        </w:numPr>
        <w:spacing w:before="240" w:after="240"/>
        <w:ind w:left="360"/>
        <w:rPr>
          <w:rFonts w:ascii="Arial" w:hAnsi="Arial" w:cs="Arial"/>
          <w:lang w:val="fr-CA"/>
        </w:rPr>
      </w:pPr>
      <w:r w:rsidRPr="00CB1763">
        <w:rPr>
          <w:rFonts w:ascii="Arial" w:hAnsi="Arial" w:cs="Arial"/>
          <w:lang w:val="fr-CA"/>
        </w:rPr>
        <w:lastRenderedPageBreak/>
        <w:t>L’incidence sur d’autres volets du développement, tels le développement de concepts, la compréhension et la perception et la permanence des objets</w:t>
      </w:r>
      <w:r w:rsidR="009A77B0" w:rsidRPr="00CB1763">
        <w:rPr>
          <w:rFonts w:ascii="Arial" w:hAnsi="Arial" w:cs="Arial"/>
          <w:lang w:val="fr-CA"/>
        </w:rPr>
        <w:t>,</w:t>
      </w:r>
      <w:r w:rsidRPr="00CB1763">
        <w:rPr>
          <w:rFonts w:ascii="Arial" w:hAnsi="Arial" w:cs="Arial"/>
          <w:lang w:val="fr-CA"/>
        </w:rPr>
        <w:t xml:space="preserve"> a un impact sur le développement moteur</w:t>
      </w:r>
      <w:r w:rsidR="005D5533" w:rsidRPr="00CB1763">
        <w:rPr>
          <w:rFonts w:ascii="Arial" w:hAnsi="Arial" w:cs="Arial"/>
          <w:lang w:val="fr-CA"/>
        </w:rPr>
        <w:t>.</w:t>
      </w:r>
      <w:r w:rsidR="00370B57" w:rsidRPr="00CB1763">
        <w:rPr>
          <w:rFonts w:ascii="Arial" w:hAnsi="Arial" w:cs="Arial"/>
          <w:lang w:val="fr-CA"/>
        </w:rPr>
        <w:t xml:space="preserve"> </w:t>
      </w:r>
      <w:r w:rsidR="005D5533" w:rsidRPr="00CB1763">
        <w:rPr>
          <w:rFonts w:ascii="Arial" w:hAnsi="Arial" w:cs="Arial"/>
          <w:lang w:val="fr-CA"/>
        </w:rPr>
        <w:t>Un bébé ne sait pas au départ qu’un objet existe à moins d’avoir un contac</w:t>
      </w:r>
      <w:r w:rsidR="001A3205">
        <w:rPr>
          <w:rFonts w:ascii="Arial" w:hAnsi="Arial" w:cs="Arial"/>
          <w:lang w:val="fr-CA"/>
        </w:rPr>
        <w:t>t sensoriel direct avec l’objet, s</w:t>
      </w:r>
      <w:r w:rsidR="00910CFD" w:rsidRPr="00CB1763">
        <w:rPr>
          <w:rFonts w:ascii="Arial" w:hAnsi="Arial" w:cs="Arial"/>
          <w:lang w:val="fr-CA"/>
        </w:rPr>
        <w:t>a vision étant compromise</w:t>
      </w:r>
      <w:r w:rsidR="00370B57" w:rsidRPr="00CB1763">
        <w:rPr>
          <w:rFonts w:ascii="Arial" w:hAnsi="Arial" w:cs="Arial"/>
          <w:lang w:val="fr-CA"/>
        </w:rPr>
        <w:t xml:space="preserve"> – </w:t>
      </w:r>
      <w:r w:rsidR="00910CFD" w:rsidRPr="00CB1763">
        <w:rPr>
          <w:rFonts w:ascii="Arial" w:hAnsi="Arial" w:cs="Arial"/>
          <w:lang w:val="fr-CA"/>
        </w:rPr>
        <w:t>la façon dont les objets apparaissent et disparaissent semble relever de la magie</w:t>
      </w:r>
      <w:r w:rsidR="002D3540" w:rsidRPr="00CB1763">
        <w:rPr>
          <w:rFonts w:ascii="Arial" w:hAnsi="Arial" w:cs="Arial"/>
          <w:lang w:val="fr-CA"/>
        </w:rPr>
        <w:t xml:space="preserve">. </w:t>
      </w:r>
      <w:r w:rsidR="00910CFD" w:rsidRPr="00CB1763">
        <w:rPr>
          <w:rFonts w:ascii="Arial" w:hAnsi="Arial" w:cs="Arial"/>
          <w:lang w:val="fr-CA"/>
        </w:rPr>
        <w:t>« La</w:t>
      </w:r>
      <w:r w:rsidR="00370B57" w:rsidRPr="00CB1763">
        <w:rPr>
          <w:rFonts w:ascii="Arial" w:hAnsi="Arial" w:cs="Arial"/>
          <w:lang w:val="fr-CA"/>
        </w:rPr>
        <w:t xml:space="preserve"> permanence </w:t>
      </w:r>
      <w:r w:rsidR="00910CFD" w:rsidRPr="00CB1763">
        <w:rPr>
          <w:rFonts w:ascii="Arial" w:hAnsi="Arial" w:cs="Arial"/>
          <w:lang w:val="fr-CA"/>
        </w:rPr>
        <w:t xml:space="preserve">des objets </w:t>
      </w:r>
      <w:r w:rsidR="00D93A8D" w:rsidRPr="00CB1763">
        <w:rPr>
          <w:rFonts w:ascii="Arial" w:hAnsi="Arial" w:cs="Arial"/>
          <w:lang w:val="fr-CA"/>
        </w:rPr>
        <w:t>est habituellement la première mesure de l’</w:t>
      </w:r>
      <w:r w:rsidR="00370B57" w:rsidRPr="00CB1763">
        <w:rPr>
          <w:rFonts w:ascii="Arial" w:hAnsi="Arial" w:cs="Arial"/>
          <w:lang w:val="fr-CA"/>
        </w:rPr>
        <w:t xml:space="preserve">intelligence </w:t>
      </w:r>
      <w:r w:rsidR="00D93A8D" w:rsidRPr="00CB1763">
        <w:rPr>
          <w:rFonts w:ascii="Arial" w:hAnsi="Arial" w:cs="Arial"/>
          <w:lang w:val="fr-CA"/>
        </w:rPr>
        <w:t>et il s’agit d’une habileté visuelle</w:t>
      </w:r>
      <w:r w:rsidR="00B134D7" w:rsidRPr="00CB1763">
        <w:rPr>
          <w:rStyle w:val="FootnoteReference"/>
          <w:rFonts w:ascii="Arial" w:hAnsi="Arial" w:cs="Arial"/>
          <w:lang w:val="fr-CA"/>
        </w:rPr>
        <w:footnoteReference w:id="8"/>
      </w:r>
      <w:r w:rsidR="00D93A8D" w:rsidRPr="00CB1763">
        <w:rPr>
          <w:rFonts w:ascii="Arial" w:hAnsi="Arial" w:cs="Arial"/>
          <w:lang w:val="fr-CA"/>
        </w:rPr>
        <w:t>.</w:t>
      </w:r>
      <w:r w:rsidR="001A3205">
        <w:rPr>
          <w:rFonts w:ascii="Arial" w:hAnsi="Arial" w:cs="Arial"/>
          <w:lang w:val="fr-CA"/>
        </w:rPr>
        <w:t> »</w:t>
      </w:r>
      <w:r w:rsidR="00D93A8D" w:rsidRPr="00CB1763">
        <w:rPr>
          <w:rFonts w:ascii="Arial" w:hAnsi="Arial" w:cs="Arial"/>
          <w:lang w:val="fr-CA"/>
        </w:rPr>
        <w:t xml:space="preserve"> </w:t>
      </w:r>
      <w:r w:rsidR="00C8500B" w:rsidRPr="00CB1763">
        <w:rPr>
          <w:rFonts w:ascii="Arial" w:hAnsi="Arial" w:cs="Arial"/>
          <w:lang w:val="fr-CA"/>
        </w:rPr>
        <w:t>La constance d’un objet,</w:t>
      </w:r>
      <w:r w:rsidR="00370B57" w:rsidRPr="00CB1763">
        <w:rPr>
          <w:rFonts w:ascii="Arial" w:hAnsi="Arial" w:cs="Arial"/>
          <w:lang w:val="fr-CA"/>
        </w:rPr>
        <w:t xml:space="preserve"> </w:t>
      </w:r>
      <w:r w:rsidR="00C8500B" w:rsidRPr="00CB1763">
        <w:rPr>
          <w:rFonts w:ascii="Arial" w:hAnsi="Arial" w:cs="Arial"/>
          <w:lang w:val="fr-CA"/>
        </w:rPr>
        <w:t>le lien de cause à effe</w:t>
      </w:r>
      <w:r w:rsidR="00370B57" w:rsidRPr="00CB1763">
        <w:rPr>
          <w:rFonts w:ascii="Arial" w:hAnsi="Arial" w:cs="Arial"/>
          <w:lang w:val="fr-CA"/>
        </w:rPr>
        <w:t>t</w:t>
      </w:r>
      <w:r w:rsidR="00C8500B" w:rsidRPr="00CB1763">
        <w:rPr>
          <w:rFonts w:ascii="Arial" w:hAnsi="Arial" w:cs="Arial"/>
          <w:lang w:val="fr-CA"/>
        </w:rPr>
        <w:t xml:space="preserve"> et la</w:t>
      </w:r>
      <w:r w:rsidR="00370B57" w:rsidRPr="00CB1763">
        <w:rPr>
          <w:rFonts w:ascii="Arial" w:hAnsi="Arial" w:cs="Arial"/>
          <w:lang w:val="fr-CA"/>
        </w:rPr>
        <w:t xml:space="preserve"> permanence </w:t>
      </w:r>
      <w:r w:rsidR="00C8500B" w:rsidRPr="00CB1763">
        <w:rPr>
          <w:rFonts w:ascii="Arial" w:hAnsi="Arial" w:cs="Arial"/>
          <w:lang w:val="fr-CA"/>
        </w:rPr>
        <w:t>des objets ont tous un</w:t>
      </w:r>
      <w:r w:rsidR="00370B57" w:rsidRPr="00CB1763">
        <w:rPr>
          <w:rFonts w:ascii="Arial" w:hAnsi="Arial" w:cs="Arial"/>
          <w:lang w:val="fr-CA"/>
        </w:rPr>
        <w:t xml:space="preserve"> impact </w:t>
      </w:r>
      <w:r w:rsidR="00C8500B" w:rsidRPr="00CB1763">
        <w:rPr>
          <w:rFonts w:ascii="Arial" w:hAnsi="Arial" w:cs="Arial"/>
          <w:lang w:val="fr-CA"/>
        </w:rPr>
        <w:t>sur l’acquisition des habiletés motrices depuis la petite enfance jusqu’au développement du savoir-faire physique</w:t>
      </w:r>
      <w:r w:rsidR="00B134D7" w:rsidRPr="00CB1763">
        <w:rPr>
          <w:rFonts w:ascii="Arial" w:hAnsi="Arial" w:cs="Arial"/>
          <w:lang w:val="fr-CA"/>
        </w:rPr>
        <w:t xml:space="preserve">. </w:t>
      </w:r>
      <w:r w:rsidR="00FB73DF" w:rsidRPr="00CB1763">
        <w:rPr>
          <w:rFonts w:ascii="Arial" w:hAnsi="Arial" w:cs="Arial"/>
          <w:lang w:val="fr-CA"/>
        </w:rPr>
        <w:t>Le contraste est frappant par rapport à l’apprentissage incident, ou non intentionnel, chez les enfants dont le sens de la vue est intact</w:t>
      </w:r>
      <w:r w:rsidR="00370B57" w:rsidRPr="00CB1763">
        <w:rPr>
          <w:rFonts w:ascii="Arial" w:hAnsi="Arial" w:cs="Arial"/>
          <w:lang w:val="fr-CA"/>
        </w:rPr>
        <w:t>.</w:t>
      </w:r>
    </w:p>
    <w:p w:rsidR="00120202" w:rsidRPr="00CB1763" w:rsidRDefault="00EF4AA1" w:rsidP="002D3540">
      <w:pPr>
        <w:pStyle w:val="NormalWeb"/>
        <w:numPr>
          <w:ilvl w:val="0"/>
          <w:numId w:val="8"/>
        </w:numPr>
        <w:ind w:left="360"/>
        <w:rPr>
          <w:rFonts w:ascii="Arial" w:hAnsi="Arial" w:cs="Arial"/>
          <w:lang w:val="fr-CA"/>
        </w:rPr>
      </w:pPr>
      <w:r w:rsidRPr="00CB1763">
        <w:rPr>
          <w:rFonts w:ascii="Arial" w:hAnsi="Arial" w:cs="Arial"/>
          <w:lang w:val="fr-CA"/>
        </w:rPr>
        <w:t>« </w:t>
      </w:r>
      <w:r w:rsidR="005031BB" w:rsidRPr="00CB1763">
        <w:rPr>
          <w:rFonts w:ascii="Arial" w:hAnsi="Arial" w:cs="Arial"/>
          <w:lang w:val="fr-CA"/>
        </w:rPr>
        <w:t>La relation de cause à effet est également problématique car la vue est essentielle pour</w:t>
      </w:r>
      <w:r w:rsidR="00120202" w:rsidRPr="00CB1763">
        <w:rPr>
          <w:rFonts w:ascii="Arial" w:hAnsi="Arial" w:cs="Arial"/>
          <w:lang w:val="fr-CA"/>
        </w:rPr>
        <w:t xml:space="preserve"> observe</w:t>
      </w:r>
      <w:r w:rsidR="005031BB" w:rsidRPr="00CB1763">
        <w:rPr>
          <w:rFonts w:ascii="Arial" w:hAnsi="Arial" w:cs="Arial"/>
          <w:lang w:val="fr-CA"/>
        </w:rPr>
        <w:t>r</w:t>
      </w:r>
      <w:r w:rsidR="001A3205">
        <w:rPr>
          <w:rFonts w:ascii="Arial" w:hAnsi="Arial" w:cs="Arial"/>
          <w:lang w:val="fr-CA"/>
        </w:rPr>
        <w:t xml:space="preserve"> ‘ce qui se passe lorsque...’</w:t>
      </w:r>
      <w:r w:rsidR="00370B57" w:rsidRPr="00CB1763">
        <w:rPr>
          <w:rFonts w:ascii="Arial" w:hAnsi="Arial" w:cs="Arial"/>
          <w:lang w:val="fr-CA"/>
        </w:rPr>
        <w:t xml:space="preserve"> …</w:t>
      </w:r>
      <w:r w:rsidR="00F7616F" w:rsidRPr="00CB1763">
        <w:rPr>
          <w:rFonts w:ascii="Arial" w:hAnsi="Arial" w:cs="Arial"/>
          <w:lang w:val="fr-CA"/>
        </w:rPr>
        <w:t>Le développement de concepts est sans doute l’aspect cognitif le plus important chez les jeunes enfants ayant une déficience visuelle</w:t>
      </w:r>
      <w:r w:rsidR="00120202" w:rsidRPr="00CB1763">
        <w:rPr>
          <w:rFonts w:ascii="Arial" w:hAnsi="Arial" w:cs="Arial"/>
          <w:lang w:val="fr-CA"/>
        </w:rPr>
        <w:t xml:space="preserve">, </w:t>
      </w:r>
      <w:r w:rsidR="00F7616F" w:rsidRPr="00CB1763">
        <w:rPr>
          <w:rFonts w:ascii="Arial" w:hAnsi="Arial" w:cs="Arial"/>
          <w:lang w:val="fr-CA"/>
        </w:rPr>
        <w:t>étant donné qu’il s’agit du fondement même du développement intellectuel</w:t>
      </w:r>
      <w:r w:rsidR="00B134D7" w:rsidRPr="00CB1763">
        <w:rPr>
          <w:rStyle w:val="FootnoteReference"/>
          <w:rFonts w:ascii="Arial" w:hAnsi="Arial" w:cs="Arial"/>
          <w:lang w:val="fr-CA"/>
        </w:rPr>
        <w:footnoteReference w:id="9"/>
      </w:r>
      <w:r w:rsidR="00F7616F" w:rsidRPr="00CB1763">
        <w:rPr>
          <w:rFonts w:ascii="Arial" w:hAnsi="Arial" w:cs="Arial"/>
          <w:lang w:val="fr-CA"/>
        </w:rPr>
        <w:t> ».</w:t>
      </w:r>
    </w:p>
    <w:p w:rsidR="001B384B" w:rsidRPr="00CB1763" w:rsidRDefault="007C6BBB" w:rsidP="009A17E2">
      <w:pPr>
        <w:pStyle w:val="ListParagraph"/>
        <w:numPr>
          <w:ilvl w:val="0"/>
          <w:numId w:val="8"/>
        </w:numPr>
        <w:spacing w:before="240" w:after="240"/>
        <w:ind w:left="360"/>
        <w:rPr>
          <w:rFonts w:cs="Arial"/>
          <w:sz w:val="24"/>
          <w:szCs w:val="24"/>
          <w:lang w:val="fr-CA"/>
        </w:rPr>
      </w:pPr>
      <w:r w:rsidRPr="00CB1763">
        <w:rPr>
          <w:rFonts w:cs="Arial"/>
          <w:sz w:val="24"/>
          <w:szCs w:val="24"/>
          <w:lang w:val="fr-CA"/>
        </w:rPr>
        <w:t>Ferrell</w:t>
      </w:r>
      <w:r w:rsidR="001B384B" w:rsidRPr="00CB1763">
        <w:rPr>
          <w:rFonts w:cs="Arial"/>
          <w:sz w:val="24"/>
          <w:szCs w:val="24"/>
          <w:lang w:val="fr-CA"/>
        </w:rPr>
        <w:t xml:space="preserve">, </w:t>
      </w:r>
      <w:r w:rsidR="00C80B94" w:rsidRPr="00CB1763">
        <w:rPr>
          <w:rFonts w:cs="Arial"/>
          <w:sz w:val="24"/>
          <w:szCs w:val="24"/>
          <w:lang w:val="fr-CA"/>
        </w:rPr>
        <w:t>de même que</w:t>
      </w:r>
      <w:r w:rsidR="001B384B" w:rsidRPr="00CB1763">
        <w:rPr>
          <w:rFonts w:cs="Arial"/>
          <w:sz w:val="24"/>
          <w:szCs w:val="24"/>
          <w:lang w:val="fr-CA"/>
        </w:rPr>
        <w:t xml:space="preserve"> </w:t>
      </w:r>
      <w:r w:rsidR="009A17E2" w:rsidRPr="00CB1763">
        <w:rPr>
          <w:rFonts w:cs="Arial"/>
          <w:sz w:val="24"/>
          <w:szCs w:val="24"/>
          <w:lang w:val="fr-CA"/>
        </w:rPr>
        <w:t>Lieberman</w:t>
      </w:r>
      <w:r w:rsidR="005D5533" w:rsidRPr="00CB1763">
        <w:rPr>
          <w:rFonts w:cs="Arial"/>
          <w:sz w:val="24"/>
          <w:szCs w:val="24"/>
          <w:lang w:val="fr-CA"/>
        </w:rPr>
        <w:t xml:space="preserve">, </w:t>
      </w:r>
      <w:proofErr w:type="spellStart"/>
      <w:r w:rsidR="005D5533" w:rsidRPr="00CB1763">
        <w:rPr>
          <w:rFonts w:cs="Arial"/>
          <w:sz w:val="24"/>
          <w:szCs w:val="24"/>
          <w:lang w:val="fr-CA"/>
        </w:rPr>
        <w:t>Ponchillia</w:t>
      </w:r>
      <w:proofErr w:type="spellEnd"/>
      <w:r w:rsidR="005D5533" w:rsidRPr="00CB1763">
        <w:rPr>
          <w:rFonts w:cs="Arial"/>
          <w:sz w:val="24"/>
          <w:szCs w:val="24"/>
          <w:lang w:val="fr-CA"/>
        </w:rPr>
        <w:t xml:space="preserve"> et</w:t>
      </w:r>
      <w:r w:rsidR="009A17E2" w:rsidRPr="00CB1763">
        <w:rPr>
          <w:rFonts w:cs="Arial"/>
          <w:sz w:val="24"/>
          <w:szCs w:val="24"/>
          <w:lang w:val="fr-CA"/>
        </w:rPr>
        <w:t xml:space="preserve"> </w:t>
      </w:r>
      <w:proofErr w:type="spellStart"/>
      <w:r w:rsidR="001B384B" w:rsidRPr="00CB1763">
        <w:rPr>
          <w:rFonts w:cs="Arial"/>
          <w:sz w:val="24"/>
          <w:szCs w:val="24"/>
          <w:lang w:val="fr-CA"/>
        </w:rPr>
        <w:t>Ponchill</w:t>
      </w:r>
      <w:r w:rsidRPr="00CB1763">
        <w:rPr>
          <w:rFonts w:cs="Arial"/>
          <w:sz w:val="24"/>
          <w:szCs w:val="24"/>
          <w:lang w:val="fr-CA"/>
        </w:rPr>
        <w:t>i</w:t>
      </w:r>
      <w:r w:rsidR="001B384B" w:rsidRPr="00CB1763">
        <w:rPr>
          <w:rFonts w:cs="Arial"/>
          <w:sz w:val="24"/>
          <w:szCs w:val="24"/>
          <w:lang w:val="fr-CA"/>
        </w:rPr>
        <w:t>a</w:t>
      </w:r>
      <w:proofErr w:type="spellEnd"/>
      <w:r w:rsidR="009A17E2" w:rsidRPr="00CB1763">
        <w:rPr>
          <w:rFonts w:cs="Arial"/>
          <w:sz w:val="24"/>
          <w:szCs w:val="24"/>
          <w:lang w:val="fr-CA"/>
        </w:rPr>
        <w:t xml:space="preserve"> </w:t>
      </w:r>
      <w:r w:rsidR="00F7616F" w:rsidRPr="00CB1763">
        <w:rPr>
          <w:rFonts w:cs="Arial"/>
          <w:sz w:val="24"/>
          <w:szCs w:val="24"/>
          <w:lang w:val="fr-CA"/>
        </w:rPr>
        <w:t>font état également d’un manque d’équilibre, au niveau du corps et de la tête, en raison du peu de stimulation à soulever la tête et à observer</w:t>
      </w:r>
      <w:r w:rsidR="001B384B" w:rsidRPr="00CB1763">
        <w:rPr>
          <w:rFonts w:cs="Arial"/>
          <w:sz w:val="24"/>
          <w:szCs w:val="24"/>
          <w:lang w:val="fr-CA"/>
        </w:rPr>
        <w:t xml:space="preserve">. </w:t>
      </w:r>
      <w:r w:rsidR="006874FD" w:rsidRPr="00CB1763">
        <w:rPr>
          <w:rFonts w:cs="Arial"/>
          <w:sz w:val="24"/>
          <w:szCs w:val="24"/>
          <w:lang w:val="fr-CA"/>
        </w:rPr>
        <w:t>On note également un équilibre statique, un équilibre dynamique, des réactions de protection</w:t>
      </w:r>
      <w:r w:rsidR="001B384B" w:rsidRPr="00CB1763">
        <w:rPr>
          <w:rFonts w:cs="Arial"/>
          <w:sz w:val="24"/>
          <w:szCs w:val="24"/>
          <w:lang w:val="fr-CA"/>
        </w:rPr>
        <w:t xml:space="preserve"> (</w:t>
      </w:r>
      <w:r w:rsidR="006874FD" w:rsidRPr="00CB1763">
        <w:rPr>
          <w:rFonts w:cs="Arial"/>
          <w:sz w:val="24"/>
          <w:szCs w:val="24"/>
          <w:lang w:val="fr-CA"/>
        </w:rPr>
        <w:t>en cas de chute</w:t>
      </w:r>
      <w:r w:rsidR="001B384B" w:rsidRPr="00CB1763">
        <w:rPr>
          <w:rFonts w:cs="Arial"/>
          <w:sz w:val="24"/>
          <w:szCs w:val="24"/>
          <w:lang w:val="fr-CA"/>
        </w:rPr>
        <w:t>)</w:t>
      </w:r>
      <w:r w:rsidR="006874FD" w:rsidRPr="00CB1763">
        <w:rPr>
          <w:rFonts w:cs="Arial"/>
          <w:sz w:val="24"/>
          <w:szCs w:val="24"/>
          <w:lang w:val="fr-CA"/>
        </w:rPr>
        <w:t xml:space="preserve"> et une position assise peu développés</w:t>
      </w:r>
      <w:r w:rsidR="00C80B94" w:rsidRPr="00CB1763">
        <w:rPr>
          <w:rFonts w:cs="Arial"/>
          <w:sz w:val="24"/>
          <w:szCs w:val="24"/>
          <w:lang w:val="fr-CA"/>
        </w:rPr>
        <w:t>.</w:t>
      </w:r>
      <w:r w:rsidR="001B384B" w:rsidRPr="00CB1763">
        <w:rPr>
          <w:rFonts w:cs="Arial"/>
          <w:sz w:val="24"/>
          <w:szCs w:val="24"/>
          <w:lang w:val="fr-CA"/>
        </w:rPr>
        <w:t xml:space="preserve"> </w:t>
      </w:r>
      <w:r w:rsidR="0038750D" w:rsidRPr="00CB1763">
        <w:rPr>
          <w:rFonts w:cs="Arial"/>
          <w:sz w:val="24"/>
          <w:szCs w:val="24"/>
          <w:lang w:val="fr-CA"/>
        </w:rPr>
        <w:t>Tous ces éléments ont pour résultat de retarder le développement du savoir-faire physique chez les enfants aveugles ou qui ont une déficience visuelle</w:t>
      </w:r>
      <w:r w:rsidR="00C80B94" w:rsidRPr="00CB1763">
        <w:rPr>
          <w:rFonts w:cs="Arial"/>
          <w:sz w:val="24"/>
          <w:szCs w:val="24"/>
          <w:lang w:val="fr-CA"/>
        </w:rPr>
        <w:t>.</w:t>
      </w:r>
    </w:p>
    <w:p w:rsidR="002D3540" w:rsidRPr="00CB1763" w:rsidRDefault="002D3540" w:rsidP="002D3540">
      <w:pPr>
        <w:pStyle w:val="ListParagraph"/>
        <w:rPr>
          <w:rFonts w:cs="Arial"/>
          <w:sz w:val="24"/>
          <w:szCs w:val="24"/>
          <w:lang w:val="fr-CA"/>
        </w:rPr>
      </w:pPr>
    </w:p>
    <w:p w:rsidR="001B384B" w:rsidRPr="00CB1763" w:rsidRDefault="00037B0C" w:rsidP="002D3540">
      <w:pPr>
        <w:pStyle w:val="ListParagraph"/>
        <w:numPr>
          <w:ilvl w:val="0"/>
          <w:numId w:val="8"/>
        </w:numPr>
        <w:ind w:left="360"/>
        <w:rPr>
          <w:rFonts w:cs="Arial"/>
          <w:sz w:val="24"/>
          <w:szCs w:val="24"/>
          <w:lang w:val="fr-CA"/>
        </w:rPr>
      </w:pPr>
      <w:r w:rsidRPr="00CB1763">
        <w:rPr>
          <w:rFonts w:cs="Arial"/>
          <w:sz w:val="24"/>
          <w:szCs w:val="24"/>
          <w:lang w:val="fr-CA"/>
        </w:rPr>
        <w:t>Dans le document intitulé</w:t>
      </w:r>
      <w:r w:rsidR="00110219" w:rsidRPr="00CB1763">
        <w:rPr>
          <w:rFonts w:cs="Arial"/>
          <w:sz w:val="24"/>
          <w:szCs w:val="24"/>
          <w:lang w:val="fr-CA"/>
        </w:rPr>
        <w:t xml:space="preserve"> </w:t>
      </w:r>
      <w:r w:rsidR="00110219" w:rsidRPr="00CB1763">
        <w:rPr>
          <w:rFonts w:cs="Arial"/>
          <w:i/>
          <w:sz w:val="24"/>
          <w:szCs w:val="24"/>
          <w:lang w:val="fr-CA"/>
        </w:rPr>
        <w:t>Physical Education and Sports for People with Visual Impairments and Deafblindness</w:t>
      </w:r>
      <w:r w:rsidRPr="00CB1763">
        <w:rPr>
          <w:rFonts w:cs="Arial"/>
          <w:i/>
          <w:sz w:val="24"/>
          <w:szCs w:val="24"/>
          <w:lang w:val="fr-CA"/>
        </w:rPr>
        <w:t> </w:t>
      </w:r>
      <w:r w:rsidR="00110219" w:rsidRPr="00CB1763">
        <w:rPr>
          <w:rFonts w:cs="Arial"/>
          <w:i/>
          <w:sz w:val="24"/>
          <w:szCs w:val="24"/>
          <w:lang w:val="fr-CA"/>
        </w:rPr>
        <w:t>: Foundations of Instruction</w:t>
      </w:r>
      <w:r w:rsidR="009A17E2" w:rsidRPr="00CB1763">
        <w:rPr>
          <w:rFonts w:cs="Arial"/>
          <w:i/>
          <w:sz w:val="24"/>
          <w:szCs w:val="24"/>
          <w:lang w:val="fr-CA"/>
        </w:rPr>
        <w:t>,</w:t>
      </w:r>
      <w:r w:rsidR="00110219" w:rsidRPr="00CB1763">
        <w:rPr>
          <w:rFonts w:cs="Arial"/>
          <w:sz w:val="24"/>
          <w:szCs w:val="24"/>
          <w:lang w:val="fr-CA"/>
        </w:rPr>
        <w:t xml:space="preserve"> </w:t>
      </w:r>
      <w:r w:rsidR="001B384B" w:rsidRPr="00CB1763">
        <w:rPr>
          <w:rFonts w:cs="Arial"/>
          <w:sz w:val="24"/>
          <w:szCs w:val="24"/>
          <w:lang w:val="fr-CA"/>
        </w:rPr>
        <w:t xml:space="preserve">Anthony </w:t>
      </w:r>
      <w:r w:rsidRPr="00CB1763">
        <w:rPr>
          <w:rFonts w:cs="Arial"/>
          <w:sz w:val="24"/>
          <w:szCs w:val="24"/>
          <w:lang w:val="fr-CA"/>
        </w:rPr>
        <w:t xml:space="preserve">fait référence à Brambring et élargit son propos, ce dernier ayant déjà </w:t>
      </w:r>
      <w:r w:rsidR="00C84178" w:rsidRPr="00CB1763">
        <w:rPr>
          <w:rFonts w:cs="Arial"/>
          <w:sz w:val="24"/>
          <w:szCs w:val="24"/>
          <w:lang w:val="fr-CA"/>
        </w:rPr>
        <w:t xml:space="preserve">fait état des fonctions primaires de la </w:t>
      </w:r>
      <w:r w:rsidR="001B384B" w:rsidRPr="00CB1763">
        <w:rPr>
          <w:rFonts w:cs="Arial"/>
          <w:sz w:val="24"/>
          <w:szCs w:val="24"/>
          <w:lang w:val="fr-CA"/>
        </w:rPr>
        <w:t>vision</w:t>
      </w:r>
      <w:r w:rsidR="00C84178" w:rsidRPr="00CB1763">
        <w:rPr>
          <w:rFonts w:cs="Arial"/>
          <w:sz w:val="24"/>
          <w:szCs w:val="24"/>
          <w:lang w:val="fr-CA"/>
        </w:rPr>
        <w:t xml:space="preserve"> (sens de la vue) pour l’</w:t>
      </w:r>
      <w:r w:rsidR="004555D0" w:rsidRPr="00CB1763">
        <w:rPr>
          <w:rFonts w:cs="Arial"/>
          <w:sz w:val="24"/>
          <w:szCs w:val="24"/>
          <w:lang w:val="fr-CA"/>
        </w:rPr>
        <w:t>acquisition</w:t>
      </w:r>
      <w:r w:rsidR="00C84178" w:rsidRPr="00CB1763">
        <w:rPr>
          <w:rFonts w:cs="Arial"/>
          <w:sz w:val="24"/>
          <w:szCs w:val="24"/>
          <w:lang w:val="fr-CA"/>
        </w:rPr>
        <w:t xml:space="preserve"> des habiletés motrices, à savoir </w:t>
      </w:r>
      <w:r w:rsidR="004555D0" w:rsidRPr="00CB1763">
        <w:rPr>
          <w:rFonts w:cs="Arial"/>
          <w:sz w:val="24"/>
          <w:szCs w:val="24"/>
          <w:lang w:val="fr-CA"/>
        </w:rPr>
        <w:t>:</w:t>
      </w:r>
      <w:r w:rsidR="002F56DB" w:rsidRPr="00CB1763">
        <w:rPr>
          <w:rFonts w:cs="Arial"/>
          <w:sz w:val="24"/>
          <w:szCs w:val="24"/>
          <w:lang w:val="fr-CA"/>
        </w:rPr>
        <w:t xml:space="preserve"> </w:t>
      </w:r>
    </w:p>
    <w:p w:rsidR="006322E0" w:rsidRPr="00CB1763" w:rsidRDefault="00666F65" w:rsidP="002D3540">
      <w:pPr>
        <w:pStyle w:val="ListParagraph"/>
        <w:numPr>
          <w:ilvl w:val="0"/>
          <w:numId w:val="6"/>
        </w:numPr>
        <w:ind w:left="360" w:firstLine="900"/>
        <w:rPr>
          <w:rFonts w:cs="Arial"/>
          <w:sz w:val="24"/>
          <w:szCs w:val="24"/>
          <w:lang w:val="fr-CA"/>
        </w:rPr>
      </w:pPr>
      <w:r w:rsidRPr="00CB1763">
        <w:rPr>
          <w:rFonts w:cs="Arial"/>
          <w:sz w:val="24"/>
          <w:szCs w:val="24"/>
          <w:lang w:val="fr-CA"/>
        </w:rPr>
        <w:t>un incitatif à bouger</w:t>
      </w:r>
      <w:r w:rsidR="00037B0C" w:rsidRPr="00CB1763">
        <w:rPr>
          <w:rFonts w:cs="Arial"/>
          <w:sz w:val="24"/>
          <w:szCs w:val="24"/>
          <w:lang w:val="fr-CA"/>
        </w:rPr>
        <w:t>;</w:t>
      </w:r>
    </w:p>
    <w:p w:rsidR="006322E0" w:rsidRPr="00CB1763" w:rsidRDefault="00C91400" w:rsidP="00C91400">
      <w:pPr>
        <w:pStyle w:val="ListParagraph"/>
        <w:numPr>
          <w:ilvl w:val="0"/>
          <w:numId w:val="6"/>
        </w:numPr>
        <w:ind w:left="360" w:firstLine="900"/>
        <w:rPr>
          <w:rFonts w:cs="Arial"/>
          <w:sz w:val="24"/>
          <w:szCs w:val="24"/>
          <w:lang w:val="fr-CA"/>
        </w:rPr>
      </w:pPr>
      <w:r w:rsidRPr="00CB1763">
        <w:rPr>
          <w:rFonts w:cs="Arial"/>
          <w:sz w:val="24"/>
          <w:szCs w:val="24"/>
          <w:lang w:val="fr-CA"/>
        </w:rPr>
        <w:t>la perception précise et simultanée</w:t>
      </w:r>
      <w:r w:rsidR="00110219" w:rsidRPr="00CB1763">
        <w:rPr>
          <w:rFonts w:cs="Arial"/>
          <w:sz w:val="24"/>
          <w:szCs w:val="24"/>
          <w:lang w:val="fr-CA"/>
        </w:rPr>
        <w:t xml:space="preserve"> </w:t>
      </w:r>
      <w:r w:rsidRPr="00CB1763">
        <w:rPr>
          <w:rFonts w:cs="Arial"/>
          <w:sz w:val="24"/>
          <w:szCs w:val="24"/>
          <w:lang w:val="fr-CA"/>
        </w:rPr>
        <w:t>de l’environnement visible et du lien entre les objets qui s’y trouvent</w:t>
      </w:r>
      <w:r w:rsidR="00037B0C" w:rsidRPr="00CB1763">
        <w:rPr>
          <w:rFonts w:cs="Arial"/>
          <w:sz w:val="24"/>
          <w:szCs w:val="24"/>
          <w:lang w:val="fr-CA"/>
        </w:rPr>
        <w:t>;</w:t>
      </w:r>
    </w:p>
    <w:p w:rsidR="006322E0" w:rsidRPr="00CB1763" w:rsidRDefault="00B317B2" w:rsidP="00B317B2">
      <w:pPr>
        <w:pStyle w:val="ListParagraph"/>
        <w:numPr>
          <w:ilvl w:val="0"/>
          <w:numId w:val="6"/>
        </w:numPr>
        <w:ind w:left="360" w:firstLine="900"/>
        <w:rPr>
          <w:rFonts w:cs="Arial"/>
          <w:sz w:val="24"/>
          <w:szCs w:val="24"/>
          <w:lang w:val="fr-CA"/>
        </w:rPr>
      </w:pPr>
      <w:r w:rsidRPr="00CB1763">
        <w:rPr>
          <w:rFonts w:cs="Arial"/>
          <w:sz w:val="24"/>
          <w:szCs w:val="24"/>
          <w:lang w:val="fr-CA"/>
        </w:rPr>
        <w:t>un élément de protection, permettant d’anticiper une situation potentiellement dangereuse</w:t>
      </w:r>
      <w:r w:rsidR="00037B0C" w:rsidRPr="00CB1763">
        <w:rPr>
          <w:rFonts w:cs="Arial"/>
          <w:sz w:val="24"/>
          <w:szCs w:val="24"/>
          <w:lang w:val="fr-CA"/>
        </w:rPr>
        <w:t>;</w:t>
      </w:r>
    </w:p>
    <w:p w:rsidR="006322E0" w:rsidRPr="00CB1763" w:rsidRDefault="002541BD" w:rsidP="002D3540">
      <w:pPr>
        <w:pStyle w:val="ListParagraph"/>
        <w:numPr>
          <w:ilvl w:val="0"/>
          <w:numId w:val="6"/>
        </w:numPr>
        <w:ind w:left="360" w:firstLine="900"/>
        <w:rPr>
          <w:rFonts w:cs="Arial"/>
          <w:sz w:val="24"/>
          <w:szCs w:val="24"/>
          <w:lang w:val="fr-CA"/>
        </w:rPr>
      </w:pPr>
      <w:r w:rsidRPr="00CB1763">
        <w:rPr>
          <w:rFonts w:cs="Arial"/>
          <w:sz w:val="24"/>
          <w:szCs w:val="24"/>
          <w:lang w:val="fr-CA"/>
        </w:rPr>
        <w:t>le contrôle des mouvements grâce au suivi de la</w:t>
      </w:r>
      <w:r w:rsidR="001B384B" w:rsidRPr="00CB1763">
        <w:rPr>
          <w:rFonts w:cs="Arial"/>
          <w:sz w:val="24"/>
          <w:szCs w:val="24"/>
          <w:lang w:val="fr-CA"/>
        </w:rPr>
        <w:t xml:space="preserve"> performance</w:t>
      </w:r>
      <w:r w:rsidR="00037B0C" w:rsidRPr="00CB1763">
        <w:rPr>
          <w:rFonts w:cs="Arial"/>
          <w:sz w:val="24"/>
          <w:szCs w:val="24"/>
          <w:lang w:val="fr-CA"/>
        </w:rPr>
        <w:t>;</w:t>
      </w:r>
    </w:p>
    <w:p w:rsidR="006322E0" w:rsidRPr="00CB1763" w:rsidRDefault="00082004" w:rsidP="00082004">
      <w:pPr>
        <w:pStyle w:val="ListParagraph"/>
        <w:numPr>
          <w:ilvl w:val="0"/>
          <w:numId w:val="6"/>
        </w:numPr>
        <w:ind w:left="360" w:firstLine="900"/>
        <w:rPr>
          <w:rFonts w:cs="Arial"/>
          <w:sz w:val="24"/>
          <w:szCs w:val="24"/>
          <w:lang w:val="fr-CA"/>
        </w:rPr>
      </w:pPr>
      <w:r w:rsidRPr="00CB1763">
        <w:rPr>
          <w:rFonts w:cs="Arial"/>
          <w:sz w:val="24"/>
          <w:szCs w:val="24"/>
          <w:lang w:val="fr-CA"/>
        </w:rPr>
        <w:t>être en mesure de constater une performance motrice notable en notant la qualité des mouvements exécutés</w:t>
      </w:r>
      <w:r w:rsidR="00037B0C" w:rsidRPr="00CB1763">
        <w:rPr>
          <w:rFonts w:cs="Arial"/>
          <w:sz w:val="24"/>
          <w:szCs w:val="24"/>
          <w:lang w:val="fr-CA"/>
        </w:rPr>
        <w:t>;</w:t>
      </w:r>
    </w:p>
    <w:p w:rsidR="006322E0" w:rsidRPr="00CB1763" w:rsidRDefault="00082004" w:rsidP="00082004">
      <w:pPr>
        <w:pStyle w:val="ListParagraph"/>
        <w:numPr>
          <w:ilvl w:val="0"/>
          <w:numId w:val="6"/>
        </w:numPr>
        <w:ind w:left="360" w:firstLine="900"/>
        <w:rPr>
          <w:rFonts w:cs="Arial"/>
          <w:sz w:val="24"/>
          <w:szCs w:val="24"/>
          <w:lang w:val="fr-CA"/>
        </w:rPr>
      </w:pPr>
      <w:r w:rsidRPr="00CB1763">
        <w:rPr>
          <w:rFonts w:cs="Arial"/>
          <w:sz w:val="24"/>
          <w:szCs w:val="24"/>
          <w:lang w:val="fr-CA"/>
        </w:rPr>
        <w:t>être en mesure d’observer l’expression faciale ou le langage corporel de son entourage</w:t>
      </w:r>
      <w:r w:rsidR="00037B0C" w:rsidRPr="00CB1763">
        <w:rPr>
          <w:rFonts w:cs="Arial"/>
          <w:sz w:val="24"/>
          <w:szCs w:val="24"/>
          <w:lang w:val="fr-CA"/>
        </w:rPr>
        <w:t>;</w:t>
      </w:r>
    </w:p>
    <w:p w:rsidR="006322E0" w:rsidRPr="00CB1763" w:rsidRDefault="00082004" w:rsidP="002D3540">
      <w:pPr>
        <w:pStyle w:val="ListParagraph"/>
        <w:numPr>
          <w:ilvl w:val="0"/>
          <w:numId w:val="6"/>
        </w:numPr>
        <w:ind w:left="360" w:firstLine="900"/>
        <w:rPr>
          <w:rFonts w:cs="Arial"/>
          <w:sz w:val="24"/>
          <w:szCs w:val="24"/>
          <w:lang w:val="fr-CA"/>
        </w:rPr>
      </w:pPr>
      <w:r w:rsidRPr="00CB1763">
        <w:rPr>
          <w:rFonts w:cs="Arial"/>
          <w:sz w:val="24"/>
          <w:szCs w:val="24"/>
          <w:lang w:val="fr-CA"/>
        </w:rPr>
        <w:lastRenderedPageBreak/>
        <w:t>être en mesure d’observer les autres, et d’imiter leurs mouvements, le cas échéant</w:t>
      </w:r>
      <w:r w:rsidR="00110219" w:rsidRPr="00CB1763">
        <w:rPr>
          <w:rStyle w:val="FootnoteReference"/>
          <w:rFonts w:cs="Arial"/>
          <w:sz w:val="24"/>
          <w:szCs w:val="24"/>
          <w:lang w:val="fr-CA"/>
        </w:rPr>
        <w:footnoteReference w:id="10"/>
      </w:r>
      <w:r w:rsidR="00666F65" w:rsidRPr="00CB1763">
        <w:rPr>
          <w:rFonts w:cs="Arial"/>
          <w:sz w:val="24"/>
          <w:szCs w:val="24"/>
          <w:lang w:val="fr-CA"/>
        </w:rPr>
        <w:t>.</w:t>
      </w:r>
    </w:p>
    <w:p w:rsidR="006D6074" w:rsidRPr="00CB1763" w:rsidRDefault="006D6074" w:rsidP="006D6074">
      <w:pPr>
        <w:pStyle w:val="ListParagraph"/>
        <w:spacing w:before="240" w:after="240"/>
        <w:ind w:left="360"/>
        <w:rPr>
          <w:rFonts w:cs="Arial"/>
          <w:sz w:val="24"/>
          <w:szCs w:val="24"/>
          <w:lang w:val="fr-CA"/>
        </w:rPr>
      </w:pPr>
    </w:p>
    <w:p w:rsidR="00DC3E4D" w:rsidRPr="00CB1763" w:rsidRDefault="002577C6" w:rsidP="006D6074">
      <w:pPr>
        <w:pStyle w:val="ListParagraph"/>
        <w:numPr>
          <w:ilvl w:val="0"/>
          <w:numId w:val="8"/>
        </w:numPr>
        <w:spacing w:before="240" w:after="240"/>
        <w:ind w:left="360"/>
        <w:rPr>
          <w:rFonts w:cs="Arial"/>
          <w:sz w:val="24"/>
          <w:szCs w:val="24"/>
          <w:lang w:val="fr-CA"/>
        </w:rPr>
      </w:pPr>
      <w:r w:rsidRPr="00CB1763">
        <w:rPr>
          <w:rFonts w:cs="Arial"/>
          <w:sz w:val="24"/>
          <w:szCs w:val="24"/>
          <w:lang w:val="fr-CA"/>
        </w:rPr>
        <w:t>Voilà donc un petit échantillon de l’</w:t>
      </w:r>
      <w:r w:rsidR="001B384B" w:rsidRPr="00CB1763">
        <w:rPr>
          <w:rFonts w:cs="Arial"/>
          <w:sz w:val="24"/>
          <w:szCs w:val="24"/>
          <w:lang w:val="fr-CA"/>
        </w:rPr>
        <w:t xml:space="preserve">information </w:t>
      </w:r>
      <w:r w:rsidRPr="00CB1763">
        <w:rPr>
          <w:rFonts w:cs="Arial"/>
          <w:sz w:val="24"/>
          <w:szCs w:val="24"/>
          <w:lang w:val="fr-CA"/>
        </w:rPr>
        <w:t>disponible sur l’impact d’une déficience visuelle en bas âge sur le développement moteur des jeunes enfants</w:t>
      </w:r>
      <w:r w:rsidR="001B384B" w:rsidRPr="00CB1763">
        <w:rPr>
          <w:rFonts w:cs="Arial"/>
          <w:sz w:val="24"/>
          <w:szCs w:val="24"/>
          <w:lang w:val="fr-CA"/>
        </w:rPr>
        <w:t xml:space="preserve">. </w:t>
      </w:r>
      <w:r w:rsidR="00082004" w:rsidRPr="00CB1763">
        <w:rPr>
          <w:rFonts w:cs="Arial"/>
          <w:sz w:val="24"/>
          <w:szCs w:val="24"/>
          <w:lang w:val="fr-CA"/>
        </w:rPr>
        <w:t xml:space="preserve">Une déficience visuelle ou la perte de la vue aura toujours une incidence sur le développement moteur et la performance, </w:t>
      </w:r>
      <w:r w:rsidR="00E738A0" w:rsidRPr="00CB1763">
        <w:rPr>
          <w:rFonts w:cs="Arial"/>
          <w:sz w:val="24"/>
          <w:szCs w:val="24"/>
          <w:lang w:val="fr-CA"/>
        </w:rPr>
        <w:t>par le biais du développement des habiletés de mouvement de base</w:t>
      </w:r>
      <w:r w:rsidR="001B384B" w:rsidRPr="00CB1763">
        <w:rPr>
          <w:rFonts w:cs="Arial"/>
          <w:sz w:val="24"/>
          <w:szCs w:val="24"/>
          <w:lang w:val="fr-CA"/>
        </w:rPr>
        <w:t xml:space="preserve">, </w:t>
      </w:r>
      <w:r w:rsidR="00E738A0" w:rsidRPr="00CB1763">
        <w:rPr>
          <w:rFonts w:cs="Arial"/>
          <w:sz w:val="24"/>
          <w:szCs w:val="24"/>
          <w:lang w:val="fr-CA"/>
        </w:rPr>
        <w:t xml:space="preserve">du savoir-faire physique et de la </w:t>
      </w:r>
      <w:r w:rsidR="001B384B" w:rsidRPr="00CB1763">
        <w:rPr>
          <w:rFonts w:cs="Arial"/>
          <w:sz w:val="24"/>
          <w:szCs w:val="24"/>
          <w:lang w:val="fr-CA"/>
        </w:rPr>
        <w:t>performance</w:t>
      </w:r>
      <w:r w:rsidR="00E738A0" w:rsidRPr="00CB1763">
        <w:rPr>
          <w:rFonts w:cs="Arial"/>
          <w:sz w:val="24"/>
          <w:szCs w:val="24"/>
          <w:lang w:val="fr-CA"/>
        </w:rPr>
        <w:t xml:space="preserve"> sportive</w:t>
      </w:r>
      <w:r w:rsidR="001B384B" w:rsidRPr="00CB1763">
        <w:rPr>
          <w:rFonts w:cs="Arial"/>
          <w:sz w:val="24"/>
          <w:szCs w:val="24"/>
          <w:lang w:val="fr-CA"/>
        </w:rPr>
        <w:t xml:space="preserve">. </w:t>
      </w:r>
      <w:r w:rsidR="00484D7D" w:rsidRPr="00CB1763">
        <w:rPr>
          <w:rFonts w:cs="Arial"/>
          <w:sz w:val="24"/>
          <w:szCs w:val="24"/>
          <w:lang w:val="fr-CA"/>
        </w:rPr>
        <w:t>L’écart entre un athlète qui a perdu la vue après avoir acquis les habiletés propres à un sport</w:t>
      </w:r>
      <w:r w:rsidR="001B384B" w:rsidRPr="00CB1763">
        <w:rPr>
          <w:rFonts w:cs="Arial"/>
          <w:sz w:val="24"/>
          <w:szCs w:val="24"/>
          <w:lang w:val="fr-CA"/>
        </w:rPr>
        <w:t xml:space="preserve"> </w:t>
      </w:r>
      <w:r w:rsidR="00484D7D" w:rsidRPr="00CB1763">
        <w:rPr>
          <w:rFonts w:cs="Arial"/>
          <w:sz w:val="24"/>
          <w:szCs w:val="24"/>
          <w:lang w:val="fr-CA"/>
        </w:rPr>
        <w:t>et un athlète</w:t>
      </w:r>
      <w:r w:rsidR="001B384B" w:rsidRPr="00CB1763">
        <w:rPr>
          <w:rFonts w:cs="Arial"/>
          <w:sz w:val="24"/>
          <w:szCs w:val="24"/>
          <w:lang w:val="fr-CA"/>
        </w:rPr>
        <w:t xml:space="preserve"> </w:t>
      </w:r>
      <w:r w:rsidR="00484D7D" w:rsidRPr="00CB1763">
        <w:rPr>
          <w:rFonts w:cs="Arial"/>
          <w:sz w:val="24"/>
          <w:szCs w:val="24"/>
          <w:lang w:val="fr-CA"/>
        </w:rPr>
        <w:t xml:space="preserve">aveugle de naissance ou ayant une déficience visuelle est </w:t>
      </w:r>
      <w:r w:rsidR="001B384B" w:rsidRPr="00CB1763">
        <w:rPr>
          <w:rFonts w:cs="Arial"/>
          <w:sz w:val="24"/>
          <w:szCs w:val="24"/>
          <w:lang w:val="fr-CA"/>
        </w:rPr>
        <w:t xml:space="preserve">apparent. </w:t>
      </w:r>
      <w:r w:rsidR="00484D7D" w:rsidRPr="00CB1763">
        <w:rPr>
          <w:rFonts w:cs="Arial"/>
          <w:sz w:val="24"/>
          <w:szCs w:val="24"/>
          <w:lang w:val="fr-CA"/>
        </w:rPr>
        <w:t xml:space="preserve">Nous posons donc comme hypothèse </w:t>
      </w:r>
      <w:r w:rsidR="002019FB" w:rsidRPr="00CB1763">
        <w:rPr>
          <w:rFonts w:cs="Arial"/>
          <w:sz w:val="24"/>
          <w:szCs w:val="24"/>
          <w:lang w:val="fr-CA"/>
        </w:rPr>
        <w:t>qu’en tenant compte à la fois de ce que nous savons à propos du développement du savoir-faire physique et du développement moteur des enfants aveugles ou souffrant d’une déficience visuelle, les athlè</w:t>
      </w:r>
      <w:r w:rsidR="004A3074" w:rsidRPr="00CB1763">
        <w:rPr>
          <w:rFonts w:cs="Arial"/>
          <w:sz w:val="24"/>
          <w:szCs w:val="24"/>
          <w:lang w:val="fr-CA"/>
        </w:rPr>
        <w:t>tes</w:t>
      </w:r>
      <w:r w:rsidR="00DC3E4D" w:rsidRPr="00CB1763">
        <w:rPr>
          <w:rFonts w:cs="Arial"/>
          <w:sz w:val="24"/>
          <w:szCs w:val="24"/>
          <w:lang w:val="fr-CA"/>
        </w:rPr>
        <w:t xml:space="preserve"> </w:t>
      </w:r>
      <w:r w:rsidR="002019FB" w:rsidRPr="00CB1763">
        <w:rPr>
          <w:rFonts w:cs="Arial"/>
          <w:sz w:val="24"/>
          <w:szCs w:val="24"/>
          <w:lang w:val="fr-CA"/>
        </w:rPr>
        <w:t>ayant acquis leur savoir-faire physique</w:t>
      </w:r>
      <w:r w:rsidR="00DC3E4D" w:rsidRPr="00CB1763">
        <w:rPr>
          <w:rFonts w:cs="Arial"/>
          <w:sz w:val="24"/>
          <w:szCs w:val="24"/>
          <w:lang w:val="fr-CA"/>
        </w:rPr>
        <w:t xml:space="preserve"> (</w:t>
      </w:r>
      <w:r w:rsidR="002019FB" w:rsidRPr="00CB1763">
        <w:rPr>
          <w:rFonts w:cs="Arial"/>
          <w:sz w:val="24"/>
          <w:szCs w:val="24"/>
          <w:lang w:val="fr-CA"/>
        </w:rPr>
        <w:t>avant leur poussée de croissance</w:t>
      </w:r>
      <w:r w:rsidR="00DC3E4D" w:rsidRPr="00CB1763">
        <w:rPr>
          <w:rFonts w:cs="Arial"/>
          <w:sz w:val="24"/>
          <w:szCs w:val="24"/>
          <w:lang w:val="fr-CA"/>
        </w:rPr>
        <w:t xml:space="preserve"> – </w:t>
      </w:r>
      <w:r w:rsidR="002019FB" w:rsidRPr="00CB1763">
        <w:rPr>
          <w:rFonts w:cs="Arial"/>
          <w:sz w:val="24"/>
          <w:szCs w:val="24"/>
          <w:lang w:val="fr-CA"/>
        </w:rPr>
        <w:t>soit au stade optimal</w:t>
      </w:r>
      <w:r w:rsidR="00DC3E4D" w:rsidRPr="00CB1763">
        <w:rPr>
          <w:rFonts w:cs="Arial"/>
          <w:sz w:val="24"/>
          <w:szCs w:val="24"/>
          <w:lang w:val="fr-CA"/>
        </w:rPr>
        <w:t xml:space="preserve">) </w:t>
      </w:r>
      <w:r w:rsidR="002019FB" w:rsidRPr="00CB1763">
        <w:rPr>
          <w:rFonts w:cs="Arial"/>
          <w:sz w:val="24"/>
          <w:szCs w:val="24"/>
          <w:lang w:val="fr-CA"/>
        </w:rPr>
        <w:t>et dont la vue est intacte auraient un net avantage</w:t>
      </w:r>
      <w:r w:rsidR="002F56DB" w:rsidRPr="00CB1763">
        <w:rPr>
          <w:rFonts w:cs="Arial"/>
          <w:sz w:val="24"/>
          <w:szCs w:val="24"/>
          <w:lang w:val="fr-CA"/>
        </w:rPr>
        <w:t xml:space="preserve"> </w:t>
      </w:r>
      <w:r w:rsidR="002019FB" w:rsidRPr="00CB1763">
        <w:rPr>
          <w:rFonts w:cs="Arial"/>
          <w:sz w:val="24"/>
          <w:szCs w:val="24"/>
          <w:lang w:val="fr-CA"/>
        </w:rPr>
        <w:t>dans un sport de haut niveau sur les</w:t>
      </w:r>
      <w:r w:rsidR="00DC3E4D" w:rsidRPr="00CB1763">
        <w:rPr>
          <w:rFonts w:cs="Arial"/>
          <w:sz w:val="24"/>
          <w:szCs w:val="24"/>
          <w:lang w:val="fr-CA"/>
        </w:rPr>
        <w:t xml:space="preserve"> </w:t>
      </w:r>
      <w:r w:rsidR="002019FB" w:rsidRPr="00CB1763">
        <w:rPr>
          <w:rFonts w:cs="Arial"/>
          <w:sz w:val="24"/>
          <w:szCs w:val="24"/>
          <w:lang w:val="fr-CA"/>
        </w:rPr>
        <w:t>athlè</w:t>
      </w:r>
      <w:r w:rsidR="004A3074" w:rsidRPr="00CB1763">
        <w:rPr>
          <w:rFonts w:cs="Arial"/>
          <w:sz w:val="24"/>
          <w:szCs w:val="24"/>
          <w:lang w:val="fr-CA"/>
        </w:rPr>
        <w:t>tes</w:t>
      </w:r>
      <w:r w:rsidR="00DC3E4D" w:rsidRPr="00CB1763">
        <w:rPr>
          <w:rFonts w:cs="Arial"/>
          <w:sz w:val="24"/>
          <w:szCs w:val="24"/>
          <w:lang w:val="fr-CA"/>
        </w:rPr>
        <w:t xml:space="preserve"> </w:t>
      </w:r>
      <w:r w:rsidR="002019FB" w:rsidRPr="00CB1763">
        <w:rPr>
          <w:rFonts w:cs="Arial"/>
          <w:sz w:val="24"/>
          <w:szCs w:val="24"/>
          <w:lang w:val="fr-CA"/>
        </w:rPr>
        <w:t>aveugles ou ayant une déficience visuelle à la naissance</w:t>
      </w:r>
      <w:r w:rsidR="00C5680D" w:rsidRPr="00CB1763">
        <w:rPr>
          <w:rFonts w:cs="Arial"/>
          <w:sz w:val="24"/>
          <w:szCs w:val="24"/>
          <w:lang w:val="fr-CA"/>
        </w:rPr>
        <w:t xml:space="preserve"> ou en bas âge, au moment où</w:t>
      </w:r>
      <w:r w:rsidR="00DC3E4D" w:rsidRPr="00CB1763">
        <w:rPr>
          <w:rFonts w:cs="Arial"/>
          <w:sz w:val="24"/>
          <w:szCs w:val="24"/>
          <w:lang w:val="fr-CA"/>
        </w:rPr>
        <w:t xml:space="preserve"> </w:t>
      </w:r>
      <w:r w:rsidR="00C5680D" w:rsidRPr="00CB1763">
        <w:rPr>
          <w:rFonts w:cs="Arial"/>
          <w:sz w:val="24"/>
          <w:szCs w:val="24"/>
          <w:lang w:val="fr-CA"/>
        </w:rPr>
        <w:t>le savoir-faire physique devrait normalement être acquis</w:t>
      </w:r>
      <w:r w:rsidR="00DC3E4D" w:rsidRPr="00CB1763">
        <w:rPr>
          <w:rFonts w:cs="Arial"/>
          <w:sz w:val="24"/>
          <w:szCs w:val="24"/>
          <w:lang w:val="fr-CA"/>
        </w:rPr>
        <w:t>.</w:t>
      </w:r>
      <w:r w:rsidR="00110219" w:rsidRPr="00CB1763">
        <w:rPr>
          <w:rFonts w:cs="Arial"/>
          <w:sz w:val="24"/>
          <w:szCs w:val="24"/>
          <w:lang w:val="fr-CA"/>
        </w:rPr>
        <w:t xml:space="preserve"> </w:t>
      </w:r>
      <w:r w:rsidR="00C308DA" w:rsidRPr="00CB1763">
        <w:rPr>
          <w:rFonts w:cs="Arial"/>
          <w:sz w:val="24"/>
          <w:szCs w:val="24"/>
          <w:lang w:val="fr-CA"/>
        </w:rPr>
        <w:t>D’où des différences au niveau des activités préparatoires à la compétition, et bien sûr un impact sur la performance.</w:t>
      </w:r>
    </w:p>
    <w:p w:rsidR="002D3540" w:rsidRPr="00CB1763" w:rsidRDefault="002D3540" w:rsidP="002D3540">
      <w:pPr>
        <w:pStyle w:val="ListParagraph"/>
        <w:ind w:left="360" w:hanging="360"/>
        <w:rPr>
          <w:rFonts w:cs="Arial"/>
          <w:sz w:val="24"/>
          <w:szCs w:val="24"/>
          <w:lang w:val="fr-CA"/>
        </w:rPr>
      </w:pPr>
    </w:p>
    <w:p w:rsidR="004555D0" w:rsidRPr="00CB1763" w:rsidRDefault="00E15409" w:rsidP="002D3540">
      <w:pPr>
        <w:pStyle w:val="ListParagraph"/>
        <w:numPr>
          <w:ilvl w:val="0"/>
          <w:numId w:val="8"/>
        </w:numPr>
        <w:ind w:left="360"/>
        <w:rPr>
          <w:rFonts w:cs="Arial"/>
          <w:sz w:val="24"/>
          <w:szCs w:val="24"/>
          <w:lang w:val="fr-CA"/>
        </w:rPr>
      </w:pPr>
      <w:r w:rsidRPr="00CB1763">
        <w:rPr>
          <w:rFonts w:cs="Arial"/>
          <w:sz w:val="24"/>
          <w:szCs w:val="24"/>
          <w:lang w:val="fr-CA"/>
        </w:rPr>
        <w:t>Bien que nous ne sachions pas exactement comment tout cela pourrait être intégré au système de classification,</w:t>
      </w:r>
      <w:r w:rsidR="001B384B" w:rsidRPr="00CB1763">
        <w:rPr>
          <w:rFonts w:cs="Arial"/>
          <w:sz w:val="24"/>
          <w:szCs w:val="24"/>
          <w:lang w:val="fr-CA"/>
        </w:rPr>
        <w:t xml:space="preserve"> </w:t>
      </w:r>
      <w:r w:rsidRPr="00CB1763">
        <w:rPr>
          <w:rFonts w:cs="Arial"/>
          <w:sz w:val="24"/>
          <w:szCs w:val="24"/>
          <w:lang w:val="fr-CA"/>
        </w:rPr>
        <w:t>ni si cela pourrait être envisageable, nous croyons qu’il faudrait procéder à un examen complet de la documentation et effectuer toute la recherche nécessaire</w:t>
      </w:r>
      <w:r w:rsidR="001B384B" w:rsidRPr="00CB1763">
        <w:rPr>
          <w:rFonts w:cs="Arial"/>
          <w:sz w:val="24"/>
          <w:szCs w:val="24"/>
          <w:lang w:val="fr-CA"/>
        </w:rPr>
        <w:t xml:space="preserve">. </w:t>
      </w:r>
      <w:r w:rsidRPr="00CB1763">
        <w:rPr>
          <w:rFonts w:cs="Arial"/>
          <w:sz w:val="24"/>
          <w:szCs w:val="24"/>
          <w:lang w:val="fr-CA"/>
        </w:rPr>
        <w:t>Pour le moment, nous n’avons pas de réponse</w:t>
      </w:r>
      <w:r w:rsidR="001B384B" w:rsidRPr="00CB1763">
        <w:rPr>
          <w:rFonts w:cs="Arial"/>
          <w:sz w:val="24"/>
          <w:szCs w:val="24"/>
          <w:lang w:val="fr-CA"/>
        </w:rPr>
        <w:t xml:space="preserve">, </w:t>
      </w:r>
      <w:r w:rsidRPr="00CB1763">
        <w:rPr>
          <w:rFonts w:cs="Arial"/>
          <w:sz w:val="24"/>
          <w:szCs w:val="24"/>
          <w:lang w:val="fr-CA"/>
        </w:rPr>
        <w:t>mais en ce qui a trait au Code, la discussion, la recherche et la réflexion s’imposent</w:t>
      </w:r>
      <w:r w:rsidR="00DC3E4D" w:rsidRPr="00CB1763">
        <w:rPr>
          <w:rFonts w:cs="Arial"/>
          <w:sz w:val="24"/>
          <w:szCs w:val="24"/>
          <w:lang w:val="fr-CA"/>
        </w:rPr>
        <w:t>.</w:t>
      </w:r>
    </w:p>
    <w:p w:rsidR="00110219" w:rsidRPr="00CB1763" w:rsidRDefault="00110219" w:rsidP="007D5D83">
      <w:pPr>
        <w:rPr>
          <w:rFonts w:ascii="Arial" w:hAnsi="Arial" w:cs="Arial"/>
          <w:sz w:val="24"/>
          <w:szCs w:val="24"/>
          <w:lang w:val="fr-CA"/>
        </w:rPr>
      </w:pPr>
    </w:p>
    <w:p w:rsidR="007D5D83" w:rsidRPr="00CB1763" w:rsidRDefault="00037B0C" w:rsidP="006D6074">
      <w:pPr>
        <w:pStyle w:val="Heading2"/>
        <w:numPr>
          <w:ilvl w:val="0"/>
          <w:numId w:val="11"/>
        </w:numPr>
        <w:rPr>
          <w:lang w:val="fr-CA"/>
        </w:rPr>
      </w:pPr>
      <w:bookmarkStart w:id="3" w:name="_Toc368318335"/>
      <w:r w:rsidRPr="00CB1763">
        <w:rPr>
          <w:lang w:val="fr-CA"/>
        </w:rPr>
        <w:t>Liste principale de c</w:t>
      </w:r>
      <w:r w:rsidR="00AF1744" w:rsidRPr="00CB1763">
        <w:rPr>
          <w:lang w:val="fr-CA"/>
        </w:rPr>
        <w:t>l</w:t>
      </w:r>
      <w:r w:rsidRPr="00CB1763">
        <w:rPr>
          <w:lang w:val="fr-CA"/>
        </w:rPr>
        <w:t>assification</w:t>
      </w:r>
      <w:r w:rsidR="00A629EB" w:rsidRPr="00CB1763">
        <w:rPr>
          <w:lang w:val="fr-CA"/>
        </w:rPr>
        <w:t xml:space="preserve"> (</w:t>
      </w:r>
      <w:r w:rsidR="00AF1744" w:rsidRPr="00CB1763">
        <w:rPr>
          <w:lang w:val="fr-CA"/>
        </w:rPr>
        <w:t>Section 2.6</w:t>
      </w:r>
      <w:r w:rsidR="00A629EB" w:rsidRPr="00CB1763">
        <w:rPr>
          <w:lang w:val="fr-CA"/>
        </w:rPr>
        <w:t xml:space="preserve"> du Code</w:t>
      </w:r>
      <w:r w:rsidR="00AF1744" w:rsidRPr="00CB1763">
        <w:rPr>
          <w:lang w:val="fr-CA"/>
        </w:rPr>
        <w:t>)</w:t>
      </w:r>
      <w:bookmarkEnd w:id="3"/>
    </w:p>
    <w:p w:rsidR="0038231E" w:rsidRPr="00CB1763" w:rsidRDefault="00B317B2" w:rsidP="00645A26">
      <w:pPr>
        <w:pStyle w:val="ListParagraph"/>
        <w:numPr>
          <w:ilvl w:val="0"/>
          <w:numId w:val="8"/>
        </w:numPr>
        <w:spacing w:before="120"/>
        <w:ind w:left="360"/>
        <w:rPr>
          <w:rFonts w:cs="Arial"/>
          <w:sz w:val="24"/>
          <w:szCs w:val="24"/>
          <w:lang w:val="fr-CA"/>
        </w:rPr>
      </w:pPr>
      <w:r w:rsidRPr="00CB1763">
        <w:rPr>
          <w:rFonts w:cs="Arial"/>
          <w:sz w:val="24"/>
          <w:szCs w:val="24"/>
          <w:lang w:val="fr-CA"/>
        </w:rPr>
        <w:t>La section 2.6.1 du</w:t>
      </w:r>
      <w:r w:rsidR="0038231E" w:rsidRPr="00CB1763">
        <w:rPr>
          <w:rFonts w:cs="Arial"/>
          <w:sz w:val="24"/>
          <w:szCs w:val="24"/>
          <w:lang w:val="fr-CA"/>
        </w:rPr>
        <w:t xml:space="preserve"> Code </w:t>
      </w:r>
      <w:r w:rsidRPr="00CB1763">
        <w:rPr>
          <w:rFonts w:cs="Arial"/>
          <w:sz w:val="24"/>
          <w:szCs w:val="24"/>
          <w:lang w:val="fr-CA"/>
        </w:rPr>
        <w:t>établit ce que la</w:t>
      </w:r>
      <w:r w:rsidR="00413D56" w:rsidRPr="00CB1763">
        <w:rPr>
          <w:rFonts w:cs="Arial"/>
          <w:sz w:val="24"/>
          <w:szCs w:val="24"/>
          <w:lang w:val="fr-CA"/>
        </w:rPr>
        <w:t xml:space="preserve"> liste principale doit contenir.</w:t>
      </w:r>
      <w:r w:rsidR="0038231E" w:rsidRPr="00CB1763">
        <w:rPr>
          <w:rFonts w:cs="Arial"/>
          <w:sz w:val="24"/>
          <w:szCs w:val="24"/>
          <w:lang w:val="fr-CA"/>
        </w:rPr>
        <w:t xml:space="preserve"> </w:t>
      </w:r>
      <w:r w:rsidR="005D5533" w:rsidRPr="00CB1763">
        <w:rPr>
          <w:rFonts w:cs="Arial"/>
          <w:sz w:val="24"/>
          <w:szCs w:val="24"/>
          <w:lang w:val="fr-CA"/>
        </w:rPr>
        <w:t>Cette disposition est la suivante </w:t>
      </w:r>
      <w:r w:rsidR="0038231E" w:rsidRPr="00CB1763">
        <w:rPr>
          <w:rFonts w:cs="Arial"/>
          <w:sz w:val="24"/>
          <w:szCs w:val="24"/>
          <w:lang w:val="fr-CA"/>
        </w:rPr>
        <w:t>:</w:t>
      </w:r>
      <w:r w:rsidR="005D5533" w:rsidRPr="00CB1763">
        <w:rPr>
          <w:rFonts w:cs="Arial"/>
          <w:sz w:val="24"/>
          <w:szCs w:val="24"/>
          <w:lang w:val="fr-CA"/>
        </w:rPr>
        <w:t> </w:t>
      </w:r>
    </w:p>
    <w:p w:rsidR="00645A26" w:rsidRPr="00CB1763" w:rsidRDefault="00645A26" w:rsidP="0038231E">
      <w:pPr>
        <w:autoSpaceDE w:val="0"/>
        <w:autoSpaceDN w:val="0"/>
        <w:adjustRightInd w:val="0"/>
        <w:spacing w:after="0" w:line="240" w:lineRule="auto"/>
        <w:rPr>
          <w:rFonts w:ascii="Arial" w:hAnsi="Arial" w:cs="Arial"/>
          <w:i/>
          <w:sz w:val="24"/>
          <w:szCs w:val="24"/>
          <w:lang w:val="fr-CA"/>
        </w:rPr>
      </w:pPr>
    </w:p>
    <w:p w:rsidR="0038231E" w:rsidRPr="00CB1763" w:rsidRDefault="005D5533" w:rsidP="00645A26">
      <w:pPr>
        <w:tabs>
          <w:tab w:val="left" w:pos="8100"/>
        </w:tabs>
        <w:autoSpaceDE w:val="0"/>
        <w:autoSpaceDN w:val="0"/>
        <w:adjustRightInd w:val="0"/>
        <w:spacing w:after="0" w:line="240" w:lineRule="auto"/>
        <w:ind w:left="1890" w:right="1260"/>
        <w:jc w:val="both"/>
        <w:rPr>
          <w:rFonts w:ascii="Arial" w:hAnsi="Arial" w:cs="Arial"/>
          <w:sz w:val="24"/>
          <w:szCs w:val="24"/>
          <w:lang w:val="fr-CA"/>
        </w:rPr>
      </w:pPr>
      <w:r w:rsidRPr="00CB1763">
        <w:rPr>
          <w:rFonts w:ascii="Arial" w:hAnsi="Arial" w:cs="Arial"/>
          <w:sz w:val="24"/>
          <w:szCs w:val="24"/>
          <w:lang w:val="fr-CA"/>
        </w:rPr>
        <w:t>« Pour faciliter le processus de</w:t>
      </w:r>
      <w:r w:rsidR="0038231E" w:rsidRPr="00CB1763">
        <w:rPr>
          <w:rFonts w:ascii="Arial" w:hAnsi="Arial" w:cs="Arial"/>
          <w:sz w:val="24"/>
          <w:szCs w:val="24"/>
          <w:lang w:val="fr-CA"/>
        </w:rPr>
        <w:t xml:space="preserve"> classification, </w:t>
      </w:r>
      <w:r w:rsidRPr="00CB1763">
        <w:rPr>
          <w:rFonts w:ascii="Arial" w:hAnsi="Arial" w:cs="Arial"/>
          <w:sz w:val="24"/>
          <w:szCs w:val="24"/>
          <w:lang w:val="fr-CA"/>
        </w:rPr>
        <w:t>les FI</w:t>
      </w:r>
      <w:r w:rsidR="0038231E" w:rsidRPr="00CB1763">
        <w:rPr>
          <w:rFonts w:ascii="Arial" w:hAnsi="Arial" w:cs="Arial"/>
          <w:sz w:val="24"/>
          <w:szCs w:val="24"/>
          <w:lang w:val="fr-CA"/>
        </w:rPr>
        <w:t xml:space="preserve"> </w:t>
      </w:r>
      <w:r w:rsidRPr="00CB1763">
        <w:rPr>
          <w:rFonts w:ascii="Arial" w:hAnsi="Arial" w:cs="Arial"/>
          <w:sz w:val="24"/>
          <w:szCs w:val="24"/>
          <w:lang w:val="fr-CA"/>
        </w:rPr>
        <w:t xml:space="preserve">doivent </w:t>
      </w:r>
      <w:r w:rsidR="005D189D" w:rsidRPr="00CB1763">
        <w:rPr>
          <w:rFonts w:ascii="Arial" w:hAnsi="Arial" w:cs="Arial"/>
          <w:sz w:val="24"/>
          <w:szCs w:val="24"/>
          <w:lang w:val="fr-CA"/>
        </w:rPr>
        <w:t>établir la liste principale de</w:t>
      </w:r>
      <w:r w:rsidR="004A3074" w:rsidRPr="00CB1763">
        <w:rPr>
          <w:rFonts w:ascii="Arial" w:hAnsi="Arial" w:cs="Arial"/>
          <w:sz w:val="24"/>
          <w:szCs w:val="24"/>
          <w:lang w:val="fr-CA"/>
        </w:rPr>
        <w:t xml:space="preserve"> </w:t>
      </w:r>
      <w:r w:rsidR="005D189D" w:rsidRPr="00CB1763">
        <w:rPr>
          <w:rFonts w:ascii="Arial" w:hAnsi="Arial" w:cs="Arial"/>
          <w:sz w:val="24"/>
          <w:szCs w:val="24"/>
          <w:lang w:val="fr-CA"/>
        </w:rPr>
        <w:t>classification des athlè</w:t>
      </w:r>
      <w:r w:rsidR="0038231E" w:rsidRPr="00CB1763">
        <w:rPr>
          <w:rFonts w:ascii="Arial" w:hAnsi="Arial" w:cs="Arial"/>
          <w:sz w:val="24"/>
          <w:szCs w:val="24"/>
          <w:lang w:val="fr-CA"/>
        </w:rPr>
        <w:t xml:space="preserve">tes, </w:t>
      </w:r>
      <w:r w:rsidR="005D189D" w:rsidRPr="00CB1763">
        <w:rPr>
          <w:rFonts w:ascii="Arial" w:hAnsi="Arial" w:cs="Arial"/>
          <w:sz w:val="24"/>
          <w:szCs w:val="24"/>
          <w:lang w:val="fr-CA"/>
        </w:rPr>
        <w:t xml:space="preserve">laquelle doit indiquer, au minimum, le nom de l’athlète, son pays d’origine, sa catégorie et </w:t>
      </w:r>
      <w:r w:rsidR="00413D56" w:rsidRPr="00CB1763">
        <w:rPr>
          <w:rFonts w:ascii="Arial" w:hAnsi="Arial" w:cs="Arial"/>
          <w:sz w:val="24"/>
          <w:szCs w:val="24"/>
          <w:lang w:val="fr-CA"/>
        </w:rPr>
        <w:t>l’état actuel</w:t>
      </w:r>
      <w:r w:rsidR="005D189D" w:rsidRPr="00CB1763">
        <w:rPr>
          <w:rFonts w:ascii="Arial" w:hAnsi="Arial" w:cs="Arial"/>
          <w:sz w:val="24"/>
          <w:szCs w:val="24"/>
          <w:lang w:val="fr-CA"/>
        </w:rPr>
        <w:t xml:space="preserve"> de sa catégorie</w:t>
      </w:r>
      <w:r w:rsidR="0038231E" w:rsidRPr="00CB1763">
        <w:rPr>
          <w:rFonts w:ascii="Arial" w:hAnsi="Arial" w:cs="Arial"/>
          <w:sz w:val="24"/>
          <w:szCs w:val="24"/>
          <w:lang w:val="fr-CA"/>
        </w:rPr>
        <w:t xml:space="preserve">. </w:t>
      </w:r>
      <w:r w:rsidR="005D189D" w:rsidRPr="00CB1763">
        <w:rPr>
          <w:rFonts w:ascii="Arial" w:hAnsi="Arial" w:cs="Arial"/>
          <w:sz w:val="24"/>
          <w:szCs w:val="24"/>
          <w:lang w:val="fr-CA"/>
        </w:rPr>
        <w:t>La liste principale de classification doit également préciser quels athlètes participent à des compétitions</w:t>
      </w:r>
      <w:r w:rsidR="0038231E" w:rsidRPr="00CB1763">
        <w:rPr>
          <w:rFonts w:ascii="Arial" w:hAnsi="Arial" w:cs="Arial"/>
          <w:sz w:val="24"/>
          <w:szCs w:val="24"/>
          <w:lang w:val="fr-CA"/>
        </w:rPr>
        <w:t xml:space="preserve"> international</w:t>
      </w:r>
      <w:r w:rsidR="005D189D" w:rsidRPr="00CB1763">
        <w:rPr>
          <w:rFonts w:ascii="Arial" w:hAnsi="Arial" w:cs="Arial"/>
          <w:sz w:val="24"/>
          <w:szCs w:val="24"/>
          <w:lang w:val="fr-CA"/>
        </w:rPr>
        <w:t>es ».</w:t>
      </w:r>
    </w:p>
    <w:p w:rsidR="0038231E" w:rsidRPr="00CB1763" w:rsidRDefault="0038231E" w:rsidP="0038231E">
      <w:pPr>
        <w:autoSpaceDE w:val="0"/>
        <w:autoSpaceDN w:val="0"/>
        <w:adjustRightInd w:val="0"/>
        <w:spacing w:after="0" w:line="240" w:lineRule="auto"/>
        <w:rPr>
          <w:rFonts w:ascii="Arial" w:hAnsi="Arial" w:cs="Arial"/>
          <w:sz w:val="24"/>
          <w:szCs w:val="24"/>
          <w:lang w:val="fr-CA"/>
        </w:rPr>
      </w:pPr>
    </w:p>
    <w:p w:rsidR="00110219" w:rsidRPr="00CB1763" w:rsidRDefault="00423FD8" w:rsidP="00645A26">
      <w:pPr>
        <w:pStyle w:val="ListParagraph"/>
        <w:numPr>
          <w:ilvl w:val="0"/>
          <w:numId w:val="8"/>
        </w:numPr>
        <w:tabs>
          <w:tab w:val="left" w:pos="630"/>
        </w:tabs>
        <w:ind w:left="360"/>
        <w:rPr>
          <w:rFonts w:cs="Arial"/>
          <w:sz w:val="24"/>
          <w:szCs w:val="24"/>
          <w:lang w:val="fr-CA"/>
        </w:rPr>
      </w:pPr>
      <w:r w:rsidRPr="00CB1763">
        <w:rPr>
          <w:rFonts w:cs="Arial"/>
          <w:sz w:val="24"/>
          <w:szCs w:val="24"/>
          <w:lang w:val="fr-CA"/>
        </w:rPr>
        <w:t>Il n’y a aucune disposition dans la</w:t>
      </w:r>
      <w:r w:rsidR="00AF1744" w:rsidRPr="00CB1763">
        <w:rPr>
          <w:rFonts w:cs="Arial"/>
          <w:sz w:val="24"/>
          <w:szCs w:val="24"/>
          <w:lang w:val="fr-CA"/>
        </w:rPr>
        <w:t xml:space="preserve"> section 2.6 </w:t>
      </w:r>
      <w:r w:rsidR="00037B0C" w:rsidRPr="00CB1763">
        <w:rPr>
          <w:rFonts w:cs="Arial"/>
          <w:sz w:val="24"/>
          <w:szCs w:val="24"/>
          <w:lang w:val="fr-CA"/>
        </w:rPr>
        <w:t>du</w:t>
      </w:r>
      <w:r w:rsidR="00AF1744" w:rsidRPr="00CB1763">
        <w:rPr>
          <w:rFonts w:cs="Arial"/>
          <w:sz w:val="24"/>
          <w:szCs w:val="24"/>
          <w:lang w:val="fr-CA"/>
        </w:rPr>
        <w:t xml:space="preserve"> Code </w:t>
      </w:r>
      <w:r w:rsidRPr="00CB1763">
        <w:rPr>
          <w:rFonts w:cs="Arial"/>
          <w:sz w:val="24"/>
          <w:szCs w:val="24"/>
          <w:lang w:val="fr-CA"/>
        </w:rPr>
        <w:t>pour s’assurer que l’information consignée sur la liste principale</w:t>
      </w:r>
      <w:r w:rsidR="00AF1744" w:rsidRPr="00CB1763">
        <w:rPr>
          <w:rFonts w:cs="Arial"/>
          <w:sz w:val="24"/>
          <w:szCs w:val="24"/>
          <w:lang w:val="fr-CA"/>
        </w:rPr>
        <w:t xml:space="preserve"> </w:t>
      </w:r>
      <w:r w:rsidRPr="00CB1763">
        <w:rPr>
          <w:rFonts w:cs="Arial"/>
          <w:sz w:val="24"/>
          <w:szCs w:val="24"/>
          <w:lang w:val="fr-CA"/>
        </w:rPr>
        <w:t xml:space="preserve">est </w:t>
      </w:r>
      <w:r w:rsidR="00483FA7" w:rsidRPr="00CB1763">
        <w:rPr>
          <w:rFonts w:cs="Arial"/>
          <w:sz w:val="24"/>
          <w:szCs w:val="24"/>
          <w:lang w:val="fr-CA"/>
        </w:rPr>
        <w:t>collectée et sauvegardée en toute sécurité de façon à prévenir l’</w:t>
      </w:r>
      <w:r w:rsidRPr="00CB1763">
        <w:rPr>
          <w:rFonts w:cs="Arial"/>
          <w:sz w:val="24"/>
          <w:szCs w:val="24"/>
          <w:lang w:val="fr-CA"/>
        </w:rPr>
        <w:t xml:space="preserve">accès non autorisé. </w:t>
      </w:r>
      <w:r w:rsidR="005D189D" w:rsidRPr="00CB1763">
        <w:rPr>
          <w:rFonts w:cs="Arial"/>
          <w:sz w:val="24"/>
          <w:szCs w:val="24"/>
          <w:lang w:val="fr-CA"/>
        </w:rPr>
        <w:t>L’ACSA</w:t>
      </w:r>
      <w:r w:rsidR="00AF1744" w:rsidRPr="00CB1763">
        <w:rPr>
          <w:rFonts w:cs="Arial"/>
          <w:sz w:val="24"/>
          <w:szCs w:val="24"/>
          <w:lang w:val="fr-CA"/>
        </w:rPr>
        <w:t xml:space="preserve"> </w:t>
      </w:r>
      <w:r w:rsidR="00483FA7" w:rsidRPr="00CB1763">
        <w:rPr>
          <w:rFonts w:cs="Arial"/>
          <w:sz w:val="24"/>
          <w:szCs w:val="24"/>
          <w:lang w:val="fr-CA"/>
        </w:rPr>
        <w:t>est d’avis que le grand public ne devrait pas avoir accès à cette liste</w:t>
      </w:r>
      <w:r w:rsidR="00AF1744" w:rsidRPr="00CB1763">
        <w:rPr>
          <w:rFonts w:cs="Arial"/>
          <w:sz w:val="24"/>
          <w:szCs w:val="24"/>
          <w:lang w:val="fr-CA"/>
        </w:rPr>
        <w:t xml:space="preserve">. </w:t>
      </w:r>
      <w:r w:rsidR="00D7367D" w:rsidRPr="00CB1763">
        <w:rPr>
          <w:rFonts w:cs="Arial"/>
          <w:sz w:val="24"/>
          <w:szCs w:val="24"/>
          <w:lang w:val="fr-CA"/>
        </w:rPr>
        <w:t xml:space="preserve">En effet, cela pourrait porter préjudice </w:t>
      </w:r>
      <w:r w:rsidR="00D7367D" w:rsidRPr="00CB1763">
        <w:rPr>
          <w:rFonts w:cs="Arial"/>
          <w:sz w:val="24"/>
          <w:szCs w:val="24"/>
          <w:lang w:val="fr-CA"/>
        </w:rPr>
        <w:lastRenderedPageBreak/>
        <w:t>à un athlète dans d’autres sphères de sa vie, notamment s’il décide de postuler un emploi</w:t>
      </w:r>
      <w:r w:rsidR="00AF1744" w:rsidRPr="00CB1763">
        <w:rPr>
          <w:rFonts w:cs="Arial"/>
          <w:sz w:val="24"/>
          <w:szCs w:val="24"/>
          <w:lang w:val="fr-CA"/>
        </w:rPr>
        <w:t xml:space="preserve"> </w:t>
      </w:r>
      <w:r w:rsidR="000B1CD2" w:rsidRPr="00CB1763">
        <w:rPr>
          <w:rFonts w:cs="Arial"/>
          <w:sz w:val="24"/>
          <w:szCs w:val="24"/>
          <w:lang w:val="fr-CA"/>
        </w:rPr>
        <w:t>après avoir mis un terme à sa carrière</w:t>
      </w:r>
      <w:r w:rsidRPr="00CB1763">
        <w:rPr>
          <w:rFonts w:cs="Arial"/>
          <w:sz w:val="24"/>
          <w:szCs w:val="24"/>
          <w:lang w:val="fr-CA"/>
        </w:rPr>
        <w:t>. Dans beaucoup de pays, un athlè</w:t>
      </w:r>
      <w:r w:rsidR="00AF1744" w:rsidRPr="00CB1763">
        <w:rPr>
          <w:rFonts w:cs="Arial"/>
          <w:sz w:val="24"/>
          <w:szCs w:val="24"/>
          <w:lang w:val="fr-CA"/>
        </w:rPr>
        <w:t xml:space="preserve">te </w:t>
      </w:r>
      <w:r w:rsidRPr="00CB1763">
        <w:rPr>
          <w:rFonts w:cs="Arial"/>
          <w:sz w:val="24"/>
          <w:szCs w:val="24"/>
          <w:lang w:val="fr-CA"/>
        </w:rPr>
        <w:t>peut choisir de divulguer ou non qu’il a une incapacité ou une invalidité au moment de</w:t>
      </w:r>
      <w:r w:rsidR="00483FA7" w:rsidRPr="00CB1763">
        <w:rPr>
          <w:rFonts w:cs="Arial"/>
          <w:sz w:val="24"/>
          <w:szCs w:val="24"/>
          <w:lang w:val="fr-CA"/>
        </w:rPr>
        <w:t xml:space="preserve"> faire une demande d’emploi</w:t>
      </w:r>
      <w:r w:rsidR="00AF1744" w:rsidRPr="00CB1763">
        <w:rPr>
          <w:rFonts w:cs="Arial"/>
          <w:sz w:val="24"/>
          <w:szCs w:val="24"/>
          <w:lang w:val="fr-CA"/>
        </w:rPr>
        <w:t>. P</w:t>
      </w:r>
      <w:r w:rsidR="00B33035" w:rsidRPr="00CB1763">
        <w:rPr>
          <w:rFonts w:cs="Arial"/>
          <w:sz w:val="24"/>
          <w:szCs w:val="24"/>
          <w:lang w:val="fr-CA"/>
        </w:rPr>
        <w:t>ermettre au grand public d’avoir accès à cette liste</w:t>
      </w:r>
      <w:r w:rsidR="00AF1744" w:rsidRPr="00CB1763">
        <w:rPr>
          <w:rFonts w:cs="Arial"/>
          <w:sz w:val="24"/>
          <w:szCs w:val="24"/>
          <w:lang w:val="fr-CA"/>
        </w:rPr>
        <w:t xml:space="preserve"> </w:t>
      </w:r>
      <w:r w:rsidR="00A32B1C" w:rsidRPr="00CB1763">
        <w:rPr>
          <w:rFonts w:cs="Arial"/>
          <w:sz w:val="24"/>
          <w:szCs w:val="24"/>
          <w:lang w:val="fr-CA"/>
        </w:rPr>
        <w:t>contrevient donc au droit fondamental d’un athlète de divulguer ou non certaines informations à son sujet</w:t>
      </w:r>
      <w:r w:rsidR="00AF1744" w:rsidRPr="00CB1763">
        <w:rPr>
          <w:rFonts w:cs="Arial"/>
          <w:sz w:val="24"/>
          <w:szCs w:val="24"/>
          <w:lang w:val="fr-CA"/>
        </w:rPr>
        <w:t>.</w:t>
      </w:r>
      <w:r w:rsidR="00AF1744" w:rsidRPr="00CB1763">
        <w:rPr>
          <w:rFonts w:cs="Arial"/>
          <w:sz w:val="24"/>
          <w:szCs w:val="24"/>
          <w:lang w:val="fr-CA"/>
        </w:rPr>
        <w:br/>
      </w:r>
    </w:p>
    <w:p w:rsidR="0038231E" w:rsidRPr="00CB1763" w:rsidRDefault="000B1CD2" w:rsidP="00645A26">
      <w:pPr>
        <w:pStyle w:val="ListParagraph"/>
        <w:numPr>
          <w:ilvl w:val="0"/>
          <w:numId w:val="8"/>
        </w:numPr>
        <w:ind w:left="360"/>
        <w:rPr>
          <w:rFonts w:cs="Arial"/>
          <w:sz w:val="24"/>
          <w:szCs w:val="24"/>
          <w:lang w:val="fr-CA"/>
        </w:rPr>
      </w:pPr>
      <w:r w:rsidRPr="00CB1763">
        <w:rPr>
          <w:rFonts w:cs="Arial"/>
          <w:sz w:val="24"/>
          <w:szCs w:val="24"/>
          <w:lang w:val="fr-CA"/>
        </w:rPr>
        <w:t>Par ailleurs, l</w:t>
      </w:r>
      <w:r w:rsidR="008B6ABC" w:rsidRPr="00CB1763">
        <w:rPr>
          <w:rFonts w:cs="Arial"/>
          <w:sz w:val="24"/>
          <w:szCs w:val="24"/>
          <w:lang w:val="fr-CA"/>
        </w:rPr>
        <w:t>’ACSA</w:t>
      </w:r>
      <w:r w:rsidR="00AF1744" w:rsidRPr="00CB1763">
        <w:rPr>
          <w:rFonts w:cs="Arial"/>
          <w:sz w:val="24"/>
          <w:szCs w:val="24"/>
          <w:lang w:val="fr-CA"/>
        </w:rPr>
        <w:t xml:space="preserve"> </w:t>
      </w:r>
      <w:r w:rsidR="006543AE" w:rsidRPr="00CB1763">
        <w:rPr>
          <w:rFonts w:cs="Arial"/>
          <w:sz w:val="24"/>
          <w:szCs w:val="24"/>
          <w:lang w:val="fr-CA"/>
        </w:rPr>
        <w:t xml:space="preserve">comprend très bien </w:t>
      </w:r>
      <w:r w:rsidRPr="00CB1763">
        <w:rPr>
          <w:rFonts w:cs="Arial"/>
          <w:sz w:val="24"/>
          <w:szCs w:val="24"/>
          <w:lang w:val="fr-CA"/>
        </w:rPr>
        <w:t>que des compétiteurs, des entraîneurs et des membres du CIP</w:t>
      </w:r>
      <w:r w:rsidR="00AF1744" w:rsidRPr="00CB1763">
        <w:rPr>
          <w:rFonts w:cs="Arial"/>
          <w:sz w:val="24"/>
          <w:szCs w:val="24"/>
          <w:lang w:val="fr-CA"/>
        </w:rPr>
        <w:t xml:space="preserve"> </w:t>
      </w:r>
      <w:r w:rsidRPr="00CB1763">
        <w:rPr>
          <w:rFonts w:cs="Arial"/>
          <w:sz w:val="24"/>
          <w:szCs w:val="24"/>
          <w:lang w:val="fr-CA"/>
        </w:rPr>
        <w:t xml:space="preserve">aient </w:t>
      </w:r>
      <w:r w:rsidR="00542190" w:rsidRPr="00CB1763">
        <w:rPr>
          <w:rFonts w:cs="Arial"/>
          <w:sz w:val="24"/>
          <w:szCs w:val="24"/>
          <w:lang w:val="fr-CA"/>
        </w:rPr>
        <w:t>besoin d’avoir accès à cette Liste</w:t>
      </w:r>
      <w:r w:rsidR="00AF1744" w:rsidRPr="00CB1763">
        <w:rPr>
          <w:rFonts w:cs="Arial"/>
          <w:sz w:val="24"/>
          <w:szCs w:val="24"/>
          <w:lang w:val="fr-CA"/>
        </w:rPr>
        <w:t xml:space="preserve"> </w:t>
      </w:r>
      <w:r w:rsidR="00542190" w:rsidRPr="00CB1763">
        <w:rPr>
          <w:rFonts w:cs="Arial"/>
          <w:sz w:val="24"/>
          <w:szCs w:val="24"/>
          <w:lang w:val="fr-CA"/>
        </w:rPr>
        <w:t xml:space="preserve">pour déposer un protêt, </w:t>
      </w:r>
      <w:r w:rsidR="005A055C" w:rsidRPr="00CB1763">
        <w:rPr>
          <w:rFonts w:cs="Arial"/>
          <w:sz w:val="24"/>
          <w:szCs w:val="24"/>
          <w:lang w:val="fr-CA"/>
        </w:rPr>
        <w:t xml:space="preserve">ou </w:t>
      </w:r>
      <w:r w:rsidR="00542190" w:rsidRPr="00CB1763">
        <w:rPr>
          <w:rFonts w:cs="Arial"/>
          <w:sz w:val="24"/>
          <w:szCs w:val="24"/>
          <w:lang w:val="fr-CA"/>
        </w:rPr>
        <w:t>pour</w:t>
      </w:r>
      <w:r w:rsidR="00AF1744" w:rsidRPr="00CB1763">
        <w:rPr>
          <w:rFonts w:cs="Arial"/>
          <w:sz w:val="24"/>
          <w:szCs w:val="24"/>
          <w:lang w:val="fr-CA"/>
        </w:rPr>
        <w:t xml:space="preserve"> </w:t>
      </w:r>
      <w:r w:rsidR="00542190" w:rsidRPr="00CB1763">
        <w:rPr>
          <w:rFonts w:cs="Arial"/>
          <w:sz w:val="24"/>
          <w:szCs w:val="24"/>
          <w:lang w:val="fr-CA"/>
        </w:rPr>
        <w:t>signaler des informations erronées concernant le statut d’un athlète, par exemple, etc.</w:t>
      </w:r>
      <w:r w:rsidR="00AF1744" w:rsidRPr="00CB1763">
        <w:rPr>
          <w:rFonts w:cs="Arial"/>
          <w:sz w:val="24"/>
          <w:szCs w:val="24"/>
          <w:lang w:val="fr-CA"/>
        </w:rPr>
        <w:t xml:space="preserve"> </w:t>
      </w:r>
      <w:r w:rsidR="005A055C" w:rsidRPr="00CB1763">
        <w:rPr>
          <w:rFonts w:cs="Arial"/>
          <w:sz w:val="24"/>
          <w:szCs w:val="24"/>
          <w:lang w:val="fr-CA"/>
        </w:rPr>
        <w:t>La liste principale de classification pourrait être mise en ligne sur un site Web protégé par mot de passe accessible uniquement à ceux et celles mentionnés plus haut</w:t>
      </w:r>
      <w:r w:rsidR="00AF1744" w:rsidRPr="00CB1763">
        <w:rPr>
          <w:rFonts w:cs="Arial"/>
          <w:sz w:val="24"/>
          <w:szCs w:val="24"/>
          <w:lang w:val="fr-CA"/>
        </w:rPr>
        <w:t xml:space="preserve">. </w:t>
      </w:r>
      <w:r w:rsidR="00466139" w:rsidRPr="00CB1763">
        <w:rPr>
          <w:rFonts w:cs="Arial"/>
          <w:sz w:val="24"/>
          <w:szCs w:val="24"/>
          <w:lang w:val="fr-CA"/>
        </w:rPr>
        <w:t>Dès qu’un athlète met fin à sa carrière sportive, toutes les informations le concernant</w:t>
      </w:r>
      <w:r w:rsidR="002218B7" w:rsidRPr="00CB1763">
        <w:rPr>
          <w:rFonts w:cs="Arial"/>
          <w:sz w:val="24"/>
          <w:szCs w:val="24"/>
          <w:lang w:val="fr-CA"/>
        </w:rPr>
        <w:t xml:space="preserve"> devraient être supprimées de cette Liste, et tous les renseignements de nature médicale que les FI ont en leur possession devraient être détruits ou retournés à l’athlète</w:t>
      </w:r>
      <w:r w:rsidR="00AF1744" w:rsidRPr="00CB1763">
        <w:rPr>
          <w:rFonts w:cs="Arial"/>
          <w:sz w:val="24"/>
          <w:szCs w:val="24"/>
          <w:lang w:val="fr-CA"/>
        </w:rPr>
        <w:t>.</w:t>
      </w:r>
    </w:p>
    <w:p w:rsidR="00645A26" w:rsidRPr="00CB1763" w:rsidRDefault="00645A26" w:rsidP="00645A26">
      <w:pPr>
        <w:pStyle w:val="ListParagraph"/>
        <w:rPr>
          <w:rFonts w:cs="Arial"/>
          <w:sz w:val="24"/>
          <w:szCs w:val="24"/>
          <w:lang w:val="fr-CA"/>
        </w:rPr>
      </w:pPr>
    </w:p>
    <w:p w:rsidR="007B281D" w:rsidRPr="00CB1763" w:rsidRDefault="00760972" w:rsidP="006D6074">
      <w:pPr>
        <w:pStyle w:val="ListParagraph"/>
        <w:numPr>
          <w:ilvl w:val="0"/>
          <w:numId w:val="8"/>
        </w:numPr>
        <w:spacing w:before="240" w:after="240"/>
        <w:ind w:left="360"/>
        <w:rPr>
          <w:rFonts w:cs="Arial"/>
          <w:i/>
          <w:sz w:val="24"/>
          <w:szCs w:val="24"/>
          <w:lang w:val="fr-CA"/>
        </w:rPr>
      </w:pPr>
      <w:r w:rsidRPr="00CB1763">
        <w:rPr>
          <w:rFonts w:cs="Arial"/>
          <w:sz w:val="24"/>
          <w:szCs w:val="24"/>
          <w:lang w:val="fr-CA"/>
        </w:rPr>
        <w:t>Quoique certaines personnes puissent laisser entendre que ces informations sont déjà en ligne</w:t>
      </w:r>
      <w:r w:rsidR="00AF1744" w:rsidRPr="00CB1763">
        <w:rPr>
          <w:rFonts w:cs="Arial"/>
          <w:sz w:val="24"/>
          <w:szCs w:val="24"/>
          <w:lang w:val="fr-CA"/>
        </w:rPr>
        <w:t xml:space="preserve"> </w:t>
      </w:r>
      <w:r w:rsidRPr="00CB1763">
        <w:rPr>
          <w:rFonts w:cs="Arial"/>
          <w:sz w:val="24"/>
          <w:szCs w:val="24"/>
          <w:lang w:val="fr-CA"/>
        </w:rPr>
        <w:t>après la publication des résultats d’une compétition,</w:t>
      </w:r>
      <w:r w:rsidR="00AF1744" w:rsidRPr="00CB1763">
        <w:rPr>
          <w:rFonts w:cs="Arial"/>
          <w:sz w:val="24"/>
          <w:szCs w:val="24"/>
          <w:lang w:val="fr-CA"/>
        </w:rPr>
        <w:t xml:space="preserve"> </w:t>
      </w:r>
      <w:r w:rsidRPr="00CB1763">
        <w:rPr>
          <w:rFonts w:cs="Arial"/>
          <w:sz w:val="24"/>
          <w:szCs w:val="24"/>
          <w:lang w:val="fr-CA"/>
        </w:rPr>
        <w:t>il serait possible de publier uniquement les résultats selon la</w:t>
      </w:r>
      <w:r w:rsidR="00AF1744" w:rsidRPr="00CB1763">
        <w:rPr>
          <w:rFonts w:cs="Arial"/>
          <w:sz w:val="24"/>
          <w:szCs w:val="24"/>
          <w:lang w:val="fr-CA"/>
        </w:rPr>
        <w:t xml:space="preserve"> classification</w:t>
      </w:r>
      <w:r w:rsidRPr="00CB1763">
        <w:rPr>
          <w:rFonts w:cs="Arial"/>
          <w:sz w:val="24"/>
          <w:szCs w:val="24"/>
          <w:lang w:val="fr-CA"/>
        </w:rPr>
        <w:t>, pour contourner cette difficulté, sans donner plus de détails sur les catégories comme telles</w:t>
      </w:r>
      <w:r w:rsidR="00AF1744" w:rsidRPr="00CB1763">
        <w:rPr>
          <w:rFonts w:cs="Arial"/>
          <w:sz w:val="24"/>
          <w:szCs w:val="24"/>
          <w:lang w:val="fr-CA"/>
        </w:rPr>
        <w:t xml:space="preserve">. </w:t>
      </w:r>
      <w:r w:rsidRPr="00CB1763">
        <w:rPr>
          <w:rFonts w:cs="Arial"/>
          <w:sz w:val="24"/>
          <w:szCs w:val="24"/>
          <w:lang w:val="fr-CA"/>
        </w:rPr>
        <w:t>De cette façon, un employeur éventuel ou autre entité souhai</w:t>
      </w:r>
      <w:r w:rsidR="00960F85" w:rsidRPr="00CB1763">
        <w:rPr>
          <w:rFonts w:cs="Arial"/>
          <w:sz w:val="24"/>
          <w:szCs w:val="24"/>
          <w:lang w:val="fr-CA"/>
        </w:rPr>
        <w:t>tant faire de la discrimination en invoquant une incapacité quelconque devra trouver un autre moyen d’y parvenir, ouvrant ainsi la voie</w:t>
      </w:r>
      <w:r w:rsidR="00531598" w:rsidRPr="00CB1763">
        <w:rPr>
          <w:rFonts w:cs="Arial"/>
          <w:sz w:val="24"/>
          <w:szCs w:val="24"/>
          <w:lang w:val="fr-CA"/>
        </w:rPr>
        <w:t xml:space="preserve"> au fait qu’une telle forme de discrimination serait dénoncée</w:t>
      </w:r>
      <w:r w:rsidR="00666F65" w:rsidRPr="00CB1763">
        <w:rPr>
          <w:rFonts w:cs="Arial"/>
          <w:sz w:val="24"/>
          <w:szCs w:val="24"/>
          <w:lang w:val="fr-CA"/>
        </w:rPr>
        <w:t>.</w:t>
      </w:r>
    </w:p>
    <w:p w:rsidR="007D5D83" w:rsidRPr="00CB1763" w:rsidRDefault="00666F65" w:rsidP="006D6074">
      <w:pPr>
        <w:pStyle w:val="Heading2"/>
        <w:numPr>
          <w:ilvl w:val="0"/>
          <w:numId w:val="11"/>
        </w:numPr>
        <w:rPr>
          <w:lang w:val="fr-CA"/>
        </w:rPr>
      </w:pPr>
      <w:bookmarkStart w:id="4" w:name="_Toc368318336"/>
      <w:r w:rsidRPr="00CB1763">
        <w:rPr>
          <w:lang w:val="fr-CA"/>
        </w:rPr>
        <w:t>Fonctions des responsables de la classification (</w:t>
      </w:r>
      <w:r w:rsidR="00AF1744" w:rsidRPr="00CB1763">
        <w:rPr>
          <w:lang w:val="fr-CA"/>
        </w:rPr>
        <w:t>Section 3</w:t>
      </w:r>
      <w:r w:rsidRPr="00CB1763">
        <w:rPr>
          <w:lang w:val="fr-CA"/>
        </w:rPr>
        <w:t xml:space="preserve"> du Code</w:t>
      </w:r>
      <w:r w:rsidR="00AF1744" w:rsidRPr="00CB1763">
        <w:rPr>
          <w:lang w:val="fr-CA"/>
        </w:rPr>
        <w:t>)</w:t>
      </w:r>
      <w:bookmarkEnd w:id="4"/>
    </w:p>
    <w:p w:rsidR="00AB3EEE" w:rsidRPr="00CB1763" w:rsidRDefault="008B6ABC" w:rsidP="006D6074">
      <w:pPr>
        <w:pStyle w:val="ListParagraph"/>
        <w:numPr>
          <w:ilvl w:val="0"/>
          <w:numId w:val="8"/>
        </w:numPr>
        <w:spacing w:before="240" w:after="240"/>
        <w:ind w:left="360"/>
        <w:rPr>
          <w:rFonts w:cs="Arial"/>
          <w:sz w:val="24"/>
          <w:szCs w:val="24"/>
          <w:lang w:val="fr-CA"/>
        </w:rPr>
      </w:pPr>
      <w:r w:rsidRPr="00CB1763">
        <w:rPr>
          <w:rFonts w:cs="Arial"/>
          <w:sz w:val="24"/>
          <w:szCs w:val="24"/>
          <w:lang w:val="fr-CA"/>
        </w:rPr>
        <w:t>L’ACSA</w:t>
      </w:r>
      <w:r w:rsidR="00AB3EEE" w:rsidRPr="00CB1763">
        <w:rPr>
          <w:rFonts w:cs="Arial"/>
          <w:sz w:val="24"/>
          <w:szCs w:val="24"/>
          <w:lang w:val="fr-CA"/>
        </w:rPr>
        <w:t xml:space="preserve"> </w:t>
      </w:r>
      <w:r w:rsidR="0065157C" w:rsidRPr="00CB1763">
        <w:rPr>
          <w:rFonts w:cs="Arial"/>
          <w:sz w:val="24"/>
          <w:szCs w:val="24"/>
          <w:lang w:val="fr-CA"/>
        </w:rPr>
        <w:t>est d’avis que les mots</w:t>
      </w:r>
      <w:r w:rsidR="00F0796C" w:rsidRPr="00CB1763">
        <w:rPr>
          <w:rFonts w:cs="Arial"/>
          <w:sz w:val="24"/>
          <w:szCs w:val="24"/>
          <w:lang w:val="fr-CA"/>
        </w:rPr>
        <w:t xml:space="preserve"> </w:t>
      </w:r>
      <w:r w:rsidR="0065157C" w:rsidRPr="00CB1763">
        <w:rPr>
          <w:rFonts w:cs="Arial"/>
          <w:sz w:val="24"/>
          <w:szCs w:val="24"/>
          <w:lang w:val="fr-CA"/>
        </w:rPr>
        <w:t>« qualités générales »</w:t>
      </w:r>
      <w:r w:rsidR="00AB3EEE" w:rsidRPr="00CB1763">
        <w:rPr>
          <w:rFonts w:cs="Arial"/>
          <w:sz w:val="24"/>
          <w:szCs w:val="24"/>
          <w:lang w:val="fr-CA"/>
        </w:rPr>
        <w:t xml:space="preserve"> </w:t>
      </w:r>
      <w:r w:rsidR="0065157C" w:rsidRPr="00CB1763">
        <w:rPr>
          <w:rFonts w:cs="Arial"/>
          <w:sz w:val="24"/>
          <w:szCs w:val="24"/>
          <w:lang w:val="fr-CA"/>
        </w:rPr>
        <w:t>devraient être ajoutés à la</w:t>
      </w:r>
      <w:r w:rsidR="00AB3EEE" w:rsidRPr="00CB1763">
        <w:rPr>
          <w:rFonts w:cs="Arial"/>
          <w:sz w:val="24"/>
          <w:szCs w:val="24"/>
          <w:lang w:val="fr-CA"/>
        </w:rPr>
        <w:t xml:space="preserve"> Section 3.1.1</w:t>
      </w:r>
      <w:r w:rsidR="00E35738" w:rsidRPr="00CB1763">
        <w:rPr>
          <w:rFonts w:cs="Arial"/>
          <w:sz w:val="24"/>
          <w:szCs w:val="24"/>
          <w:lang w:val="fr-CA"/>
        </w:rPr>
        <w:t xml:space="preserve"> </w:t>
      </w:r>
      <w:r w:rsidR="0065157C" w:rsidRPr="00CB1763">
        <w:rPr>
          <w:rFonts w:cs="Arial"/>
          <w:sz w:val="24"/>
          <w:szCs w:val="24"/>
          <w:lang w:val="fr-CA"/>
        </w:rPr>
        <w:t>du</w:t>
      </w:r>
      <w:r w:rsidR="00E35738" w:rsidRPr="00CB1763">
        <w:rPr>
          <w:rFonts w:cs="Arial"/>
          <w:sz w:val="24"/>
          <w:szCs w:val="24"/>
          <w:lang w:val="fr-CA"/>
        </w:rPr>
        <w:t xml:space="preserve"> Code</w:t>
      </w:r>
      <w:r w:rsidR="0065157C" w:rsidRPr="00CB1763">
        <w:rPr>
          <w:rFonts w:cs="Arial"/>
          <w:sz w:val="24"/>
          <w:szCs w:val="24"/>
          <w:lang w:val="fr-CA"/>
        </w:rPr>
        <w:t>, entre</w:t>
      </w:r>
      <w:r w:rsidR="00E35738" w:rsidRPr="00CB1763">
        <w:rPr>
          <w:rFonts w:cs="Arial"/>
          <w:sz w:val="24"/>
          <w:szCs w:val="24"/>
          <w:lang w:val="fr-CA"/>
        </w:rPr>
        <w:t xml:space="preserve"> « fonctions</w:t>
      </w:r>
      <w:r w:rsidR="00271CF6" w:rsidRPr="00CB1763">
        <w:rPr>
          <w:rFonts w:cs="Arial"/>
          <w:sz w:val="24"/>
          <w:szCs w:val="24"/>
          <w:lang w:val="fr-CA"/>
        </w:rPr>
        <w:t> »</w:t>
      </w:r>
      <w:r w:rsidR="000800C4" w:rsidRPr="00CB1763">
        <w:rPr>
          <w:rFonts w:cs="Arial"/>
          <w:sz w:val="24"/>
          <w:szCs w:val="24"/>
          <w:lang w:val="fr-CA"/>
        </w:rPr>
        <w:t xml:space="preserve"> et </w:t>
      </w:r>
      <w:r w:rsidR="00271CF6" w:rsidRPr="00CB1763">
        <w:rPr>
          <w:rFonts w:cs="Arial"/>
          <w:sz w:val="24"/>
          <w:szCs w:val="24"/>
          <w:lang w:val="fr-CA"/>
        </w:rPr>
        <w:t>« </w:t>
      </w:r>
      <w:r w:rsidR="000800C4" w:rsidRPr="00CB1763">
        <w:rPr>
          <w:rFonts w:cs="Arial"/>
          <w:sz w:val="24"/>
          <w:szCs w:val="24"/>
          <w:lang w:val="fr-CA"/>
        </w:rPr>
        <w:t>responsabilités</w:t>
      </w:r>
      <w:r w:rsidR="00271CF6" w:rsidRPr="00CB1763">
        <w:rPr>
          <w:rFonts w:cs="Arial"/>
          <w:sz w:val="24"/>
          <w:szCs w:val="24"/>
          <w:lang w:val="fr-CA"/>
        </w:rPr>
        <w:t> »</w:t>
      </w:r>
      <w:r w:rsidR="0065157C" w:rsidRPr="00CB1763">
        <w:rPr>
          <w:rFonts w:cs="Arial"/>
          <w:sz w:val="24"/>
          <w:szCs w:val="24"/>
          <w:lang w:val="fr-CA"/>
        </w:rPr>
        <w:t>, pour qu’il soit très clair que les normes de qualification</w:t>
      </w:r>
      <w:r w:rsidR="00AB3EEE" w:rsidRPr="00CB1763">
        <w:rPr>
          <w:rFonts w:cs="Arial"/>
          <w:sz w:val="24"/>
          <w:szCs w:val="24"/>
          <w:lang w:val="fr-CA"/>
        </w:rPr>
        <w:t xml:space="preserve"> </w:t>
      </w:r>
      <w:r w:rsidR="0065157C" w:rsidRPr="00CB1763">
        <w:rPr>
          <w:rFonts w:cs="Arial"/>
          <w:sz w:val="24"/>
          <w:szCs w:val="24"/>
          <w:lang w:val="fr-CA"/>
        </w:rPr>
        <w:t>géné</w:t>
      </w:r>
      <w:r w:rsidR="00F0796C" w:rsidRPr="00CB1763">
        <w:rPr>
          <w:rFonts w:cs="Arial"/>
          <w:sz w:val="24"/>
          <w:szCs w:val="24"/>
          <w:lang w:val="fr-CA"/>
        </w:rPr>
        <w:t>ral</w:t>
      </w:r>
      <w:r w:rsidR="0065157C" w:rsidRPr="00CB1763">
        <w:rPr>
          <w:rFonts w:cs="Arial"/>
          <w:sz w:val="24"/>
          <w:szCs w:val="24"/>
          <w:lang w:val="fr-CA"/>
        </w:rPr>
        <w:t>e des responsables de la classification sont établies dans le</w:t>
      </w:r>
      <w:r w:rsidR="00AB3EEE" w:rsidRPr="00CB1763">
        <w:rPr>
          <w:rFonts w:cs="Arial"/>
          <w:sz w:val="24"/>
          <w:szCs w:val="24"/>
          <w:lang w:val="fr-CA"/>
        </w:rPr>
        <w:t xml:space="preserve"> Code</w:t>
      </w:r>
      <w:r w:rsidR="0065157C" w:rsidRPr="00CB1763">
        <w:rPr>
          <w:rFonts w:cs="Arial"/>
          <w:sz w:val="24"/>
          <w:szCs w:val="24"/>
          <w:lang w:val="fr-CA"/>
        </w:rPr>
        <w:t xml:space="preserve"> et non pas</w:t>
      </w:r>
      <w:r w:rsidR="00B5552C" w:rsidRPr="00CB1763">
        <w:rPr>
          <w:rFonts w:cs="Arial"/>
          <w:sz w:val="24"/>
          <w:szCs w:val="24"/>
          <w:lang w:val="fr-CA"/>
        </w:rPr>
        <w:t xml:space="preserve"> dans les règlements des FI</w:t>
      </w:r>
      <w:r w:rsidR="00B84B9E" w:rsidRPr="00CB1763">
        <w:rPr>
          <w:rFonts w:cs="Arial"/>
          <w:sz w:val="24"/>
          <w:szCs w:val="24"/>
          <w:lang w:val="fr-CA"/>
        </w:rPr>
        <w:t xml:space="preserve">. </w:t>
      </w:r>
      <w:r w:rsidR="00C25E3E" w:rsidRPr="00CB1763">
        <w:rPr>
          <w:rFonts w:cs="Arial"/>
          <w:sz w:val="24"/>
          <w:szCs w:val="24"/>
          <w:lang w:val="fr-CA"/>
        </w:rPr>
        <w:t>Cette fa</w:t>
      </w:r>
      <w:r w:rsidR="00B5552C" w:rsidRPr="00CB1763">
        <w:rPr>
          <w:rFonts w:cs="Arial"/>
          <w:sz w:val="24"/>
          <w:szCs w:val="24"/>
          <w:lang w:val="fr-CA"/>
        </w:rPr>
        <w:t>çon d’agir permet de s’assurer que les responsables de la classification</w:t>
      </w:r>
      <w:r w:rsidR="00AB3EEE" w:rsidRPr="00CB1763">
        <w:rPr>
          <w:rFonts w:cs="Arial"/>
          <w:sz w:val="24"/>
          <w:szCs w:val="24"/>
          <w:lang w:val="fr-CA"/>
        </w:rPr>
        <w:t xml:space="preserve"> </w:t>
      </w:r>
      <w:r w:rsidR="00B5552C" w:rsidRPr="00CB1763">
        <w:rPr>
          <w:rFonts w:cs="Arial"/>
          <w:sz w:val="24"/>
          <w:szCs w:val="24"/>
          <w:lang w:val="fr-CA"/>
        </w:rPr>
        <w:t>reçoivent une formation conforme aux mêmes normes rigoureuses, peu importe</w:t>
      </w:r>
      <w:r w:rsidR="00AB3EEE" w:rsidRPr="00CB1763">
        <w:rPr>
          <w:rFonts w:cs="Arial"/>
          <w:sz w:val="24"/>
          <w:szCs w:val="24"/>
          <w:lang w:val="fr-CA"/>
        </w:rPr>
        <w:t xml:space="preserve"> </w:t>
      </w:r>
      <w:r w:rsidR="00B5552C" w:rsidRPr="00CB1763">
        <w:rPr>
          <w:rFonts w:cs="Arial"/>
          <w:sz w:val="24"/>
          <w:szCs w:val="24"/>
          <w:lang w:val="fr-CA"/>
        </w:rPr>
        <w:t>le sport auquel ils prêtent leurs services</w:t>
      </w:r>
      <w:r w:rsidR="00AB3EEE" w:rsidRPr="00CB1763">
        <w:rPr>
          <w:rFonts w:cs="Arial"/>
          <w:sz w:val="24"/>
          <w:szCs w:val="24"/>
          <w:lang w:val="fr-CA"/>
        </w:rPr>
        <w:t xml:space="preserve">. </w:t>
      </w:r>
      <w:r w:rsidR="00B5552C" w:rsidRPr="00CB1763">
        <w:rPr>
          <w:rFonts w:cs="Arial"/>
          <w:sz w:val="24"/>
          <w:szCs w:val="24"/>
          <w:lang w:val="fr-CA"/>
        </w:rPr>
        <w:t>Dans la mesure où chaque sport a des normes de qualification différentes applicables aux responsables de la classification,</w:t>
      </w:r>
      <w:r w:rsidR="00C25E3E" w:rsidRPr="00CB1763">
        <w:rPr>
          <w:rFonts w:cs="Arial"/>
          <w:sz w:val="24"/>
          <w:szCs w:val="24"/>
          <w:lang w:val="fr-CA"/>
        </w:rPr>
        <w:t xml:space="preserve"> l</w:t>
      </w:r>
      <w:r w:rsidR="00450906" w:rsidRPr="00CB1763">
        <w:rPr>
          <w:rFonts w:cs="Arial"/>
          <w:sz w:val="24"/>
          <w:szCs w:val="24"/>
          <w:lang w:val="fr-CA"/>
        </w:rPr>
        <w:t xml:space="preserve">e Code </w:t>
      </w:r>
      <w:r w:rsidR="00B5552C" w:rsidRPr="00CB1763">
        <w:rPr>
          <w:rFonts w:cs="Arial"/>
          <w:sz w:val="24"/>
          <w:szCs w:val="24"/>
          <w:lang w:val="fr-CA"/>
        </w:rPr>
        <w:t>devrait exiger des FI qu’elles intègrent ces normes à leurs</w:t>
      </w:r>
      <w:r w:rsidR="00450906" w:rsidRPr="00CB1763">
        <w:rPr>
          <w:rFonts w:cs="Arial"/>
          <w:sz w:val="24"/>
          <w:szCs w:val="24"/>
          <w:lang w:val="fr-CA"/>
        </w:rPr>
        <w:t xml:space="preserve"> </w:t>
      </w:r>
      <w:r w:rsidR="00C25E3E" w:rsidRPr="00CB1763">
        <w:rPr>
          <w:rFonts w:cs="Arial"/>
          <w:sz w:val="24"/>
          <w:szCs w:val="24"/>
          <w:lang w:val="fr-CA"/>
        </w:rPr>
        <w:t>règles de classification</w:t>
      </w:r>
      <w:r w:rsidR="00450906" w:rsidRPr="00CB1763">
        <w:rPr>
          <w:rFonts w:cs="Arial"/>
          <w:sz w:val="24"/>
          <w:szCs w:val="24"/>
          <w:lang w:val="fr-CA"/>
        </w:rPr>
        <w:t xml:space="preserve">. </w:t>
      </w:r>
      <w:r w:rsidR="00E0024D" w:rsidRPr="00CB1763">
        <w:rPr>
          <w:rFonts w:cs="Arial"/>
          <w:sz w:val="24"/>
          <w:szCs w:val="24"/>
          <w:lang w:val="fr-CA"/>
        </w:rPr>
        <w:t>On entend par « qualités » les qualités de nature médicale</w:t>
      </w:r>
      <w:r w:rsidR="00450906" w:rsidRPr="00CB1763">
        <w:rPr>
          <w:rFonts w:cs="Arial"/>
          <w:sz w:val="24"/>
          <w:szCs w:val="24"/>
          <w:lang w:val="fr-CA"/>
        </w:rPr>
        <w:t xml:space="preserve">, </w:t>
      </w:r>
      <w:r w:rsidR="00E0024D" w:rsidRPr="00CB1763">
        <w:rPr>
          <w:rFonts w:cs="Arial"/>
          <w:sz w:val="24"/>
          <w:szCs w:val="24"/>
          <w:lang w:val="fr-CA"/>
        </w:rPr>
        <w:t>les qualités fonctionnelles</w:t>
      </w:r>
      <w:r w:rsidR="00450906" w:rsidRPr="00CB1763">
        <w:rPr>
          <w:rFonts w:cs="Arial"/>
          <w:sz w:val="24"/>
          <w:szCs w:val="24"/>
          <w:lang w:val="fr-CA"/>
        </w:rPr>
        <w:t xml:space="preserve"> (</w:t>
      </w:r>
      <w:r w:rsidR="00680E28" w:rsidRPr="00CB1763">
        <w:rPr>
          <w:rFonts w:cs="Arial"/>
          <w:sz w:val="24"/>
          <w:szCs w:val="24"/>
          <w:lang w:val="fr-CA"/>
        </w:rPr>
        <w:t>un métier ou une profession qui permet d’évaluer</w:t>
      </w:r>
      <w:r w:rsidR="00450906" w:rsidRPr="00CB1763">
        <w:rPr>
          <w:rFonts w:cs="Arial"/>
          <w:sz w:val="24"/>
          <w:szCs w:val="24"/>
          <w:lang w:val="fr-CA"/>
        </w:rPr>
        <w:t xml:space="preserve"> </w:t>
      </w:r>
      <w:r w:rsidR="00680E28" w:rsidRPr="00CB1763">
        <w:rPr>
          <w:rFonts w:cs="Arial"/>
          <w:sz w:val="24"/>
          <w:szCs w:val="24"/>
          <w:lang w:val="fr-CA"/>
        </w:rPr>
        <w:t>dans quelle mesure une déficience a des répercussions sur une personne au quotidien</w:t>
      </w:r>
      <w:r w:rsidR="00E0024D" w:rsidRPr="00CB1763">
        <w:rPr>
          <w:rFonts w:cs="Arial"/>
          <w:sz w:val="24"/>
          <w:szCs w:val="24"/>
          <w:lang w:val="fr-CA"/>
        </w:rPr>
        <w:t>) et les qualités techniques propres au sport</w:t>
      </w:r>
      <w:r w:rsidR="00450906" w:rsidRPr="00CB1763">
        <w:rPr>
          <w:rFonts w:cs="Arial"/>
          <w:sz w:val="24"/>
          <w:szCs w:val="24"/>
          <w:lang w:val="fr-CA"/>
        </w:rPr>
        <w:t xml:space="preserve"> </w:t>
      </w:r>
      <w:r w:rsidR="00E0024D" w:rsidRPr="00CB1763">
        <w:rPr>
          <w:rFonts w:cs="Arial"/>
          <w:sz w:val="24"/>
          <w:szCs w:val="24"/>
          <w:lang w:val="fr-CA"/>
        </w:rPr>
        <w:t>pour lequel un athlète souhaite être classé.</w:t>
      </w:r>
    </w:p>
    <w:p w:rsidR="006D6074" w:rsidRPr="00CB1763" w:rsidRDefault="006D6074" w:rsidP="006D6074">
      <w:pPr>
        <w:pStyle w:val="ListParagraph"/>
        <w:ind w:left="360" w:hanging="360"/>
        <w:rPr>
          <w:rFonts w:cs="Arial"/>
          <w:sz w:val="24"/>
          <w:szCs w:val="24"/>
          <w:lang w:val="fr-CA"/>
        </w:rPr>
      </w:pPr>
    </w:p>
    <w:p w:rsidR="0024063B" w:rsidRPr="00CB1763" w:rsidRDefault="008B6ABC" w:rsidP="006D6074">
      <w:pPr>
        <w:pStyle w:val="ListParagraph"/>
        <w:numPr>
          <w:ilvl w:val="0"/>
          <w:numId w:val="8"/>
        </w:numPr>
        <w:ind w:left="360"/>
        <w:rPr>
          <w:rFonts w:cs="Arial"/>
          <w:sz w:val="24"/>
          <w:szCs w:val="24"/>
          <w:lang w:val="fr-CA"/>
        </w:rPr>
      </w:pPr>
      <w:r w:rsidRPr="00CB1763">
        <w:rPr>
          <w:rFonts w:cs="Arial"/>
          <w:sz w:val="24"/>
          <w:szCs w:val="24"/>
          <w:lang w:val="fr-CA"/>
        </w:rPr>
        <w:t>L’ACSA</w:t>
      </w:r>
      <w:r w:rsidR="00834158" w:rsidRPr="00CB1763">
        <w:rPr>
          <w:rFonts w:cs="Arial"/>
          <w:sz w:val="24"/>
          <w:szCs w:val="24"/>
          <w:lang w:val="fr-CA"/>
        </w:rPr>
        <w:t xml:space="preserve"> </w:t>
      </w:r>
      <w:r w:rsidR="00306268" w:rsidRPr="00CB1763">
        <w:rPr>
          <w:rFonts w:cs="Arial"/>
          <w:sz w:val="24"/>
          <w:szCs w:val="24"/>
          <w:lang w:val="fr-CA"/>
        </w:rPr>
        <w:t>est d’avis que le verbe « devrait » au paragraphe</w:t>
      </w:r>
      <w:r w:rsidR="00834158" w:rsidRPr="00CB1763">
        <w:rPr>
          <w:rFonts w:cs="Arial"/>
          <w:sz w:val="24"/>
          <w:szCs w:val="24"/>
          <w:lang w:val="fr-CA"/>
        </w:rPr>
        <w:t xml:space="preserve"> 3.</w:t>
      </w:r>
      <w:r w:rsidR="004E7CD2" w:rsidRPr="00CB1763">
        <w:rPr>
          <w:rFonts w:cs="Arial"/>
          <w:sz w:val="24"/>
          <w:szCs w:val="24"/>
          <w:lang w:val="fr-CA"/>
        </w:rPr>
        <w:t>3.</w:t>
      </w:r>
      <w:r w:rsidR="00834158" w:rsidRPr="00CB1763">
        <w:rPr>
          <w:rFonts w:cs="Arial"/>
          <w:sz w:val="24"/>
          <w:szCs w:val="24"/>
          <w:lang w:val="fr-CA"/>
        </w:rPr>
        <w:t xml:space="preserve">3 </w:t>
      </w:r>
      <w:r w:rsidR="00306268" w:rsidRPr="00CB1763">
        <w:rPr>
          <w:rFonts w:cs="Arial"/>
          <w:sz w:val="24"/>
          <w:szCs w:val="24"/>
          <w:lang w:val="fr-CA"/>
        </w:rPr>
        <w:t>doit être remplacé par « devra ».</w:t>
      </w:r>
      <w:r w:rsidR="00834158" w:rsidRPr="00CB1763">
        <w:rPr>
          <w:rFonts w:cs="Arial"/>
          <w:sz w:val="24"/>
          <w:szCs w:val="24"/>
          <w:lang w:val="fr-CA"/>
        </w:rPr>
        <w:t xml:space="preserve"> </w:t>
      </w:r>
      <w:r w:rsidR="00680E28" w:rsidRPr="00CB1763">
        <w:rPr>
          <w:rFonts w:cs="Arial"/>
          <w:sz w:val="24"/>
          <w:szCs w:val="24"/>
          <w:lang w:val="fr-CA"/>
        </w:rPr>
        <w:t>Cela permettra de s’assurer que</w:t>
      </w:r>
      <w:r w:rsidR="002436E5" w:rsidRPr="00CB1763">
        <w:rPr>
          <w:rFonts w:cs="Arial"/>
          <w:sz w:val="24"/>
          <w:szCs w:val="24"/>
          <w:lang w:val="fr-CA"/>
        </w:rPr>
        <w:t xml:space="preserve"> le ou les responsables de la classification, lors d’une compé</w:t>
      </w:r>
      <w:r w:rsidR="00834158" w:rsidRPr="00CB1763">
        <w:rPr>
          <w:rFonts w:cs="Arial"/>
          <w:sz w:val="24"/>
          <w:szCs w:val="24"/>
          <w:lang w:val="fr-CA"/>
        </w:rPr>
        <w:t>tition</w:t>
      </w:r>
      <w:r w:rsidR="002436E5" w:rsidRPr="00CB1763">
        <w:rPr>
          <w:rFonts w:cs="Arial"/>
          <w:sz w:val="24"/>
          <w:szCs w:val="24"/>
          <w:lang w:val="fr-CA"/>
        </w:rPr>
        <w:t>,</w:t>
      </w:r>
      <w:r w:rsidR="00834158" w:rsidRPr="00CB1763">
        <w:rPr>
          <w:rFonts w:cs="Arial"/>
          <w:sz w:val="24"/>
          <w:szCs w:val="24"/>
          <w:lang w:val="fr-CA"/>
        </w:rPr>
        <w:t xml:space="preserve"> </w:t>
      </w:r>
      <w:r w:rsidR="002436E5" w:rsidRPr="00CB1763">
        <w:rPr>
          <w:rFonts w:cs="Arial"/>
          <w:sz w:val="24"/>
          <w:szCs w:val="24"/>
          <w:lang w:val="fr-CA"/>
        </w:rPr>
        <w:t>ne pourra être pris en défaut en raison d’autres responsabilités susceptibles d’empiéter sur ses fonctions principales.</w:t>
      </w:r>
      <w:r w:rsidR="00834158" w:rsidRPr="00CB1763">
        <w:rPr>
          <w:rFonts w:cs="Arial"/>
          <w:sz w:val="24"/>
          <w:szCs w:val="24"/>
          <w:lang w:val="fr-CA"/>
        </w:rPr>
        <w:t xml:space="preserve"> </w:t>
      </w:r>
      <w:r w:rsidR="002436E5" w:rsidRPr="00CB1763">
        <w:rPr>
          <w:rFonts w:cs="Arial"/>
          <w:sz w:val="24"/>
          <w:szCs w:val="24"/>
          <w:lang w:val="fr-CA"/>
        </w:rPr>
        <w:t xml:space="preserve">De surcroît, le chef de la classification et le responsable principal de la classification ne doivent pas </w:t>
      </w:r>
      <w:r w:rsidR="002436E5" w:rsidRPr="00CB1763">
        <w:rPr>
          <w:rFonts w:cs="Arial"/>
          <w:sz w:val="24"/>
          <w:szCs w:val="24"/>
          <w:lang w:val="fr-CA"/>
        </w:rPr>
        <w:lastRenderedPageBreak/>
        <w:t>faire partie du jury de classification</w:t>
      </w:r>
      <w:r w:rsidR="00106351" w:rsidRPr="00CB1763">
        <w:rPr>
          <w:rFonts w:cs="Arial"/>
          <w:sz w:val="24"/>
          <w:szCs w:val="24"/>
          <w:lang w:val="fr-CA"/>
        </w:rPr>
        <w:t>, pour s’assurer qu’un athlète aura droit aux services d’un arbitre impartial en cas de protêt.</w:t>
      </w:r>
      <w:r w:rsidR="00450906" w:rsidRPr="00CB1763">
        <w:rPr>
          <w:rFonts w:cs="Arial"/>
          <w:sz w:val="24"/>
          <w:szCs w:val="24"/>
          <w:lang w:val="fr-CA"/>
        </w:rPr>
        <w:t xml:space="preserve"> </w:t>
      </w:r>
      <w:r w:rsidR="003049DE" w:rsidRPr="00CB1763">
        <w:rPr>
          <w:rFonts w:cs="Arial"/>
          <w:sz w:val="24"/>
          <w:szCs w:val="24"/>
          <w:lang w:val="fr-CA"/>
        </w:rPr>
        <w:t>Dans le même ordre d’idées,</w:t>
      </w:r>
      <w:r w:rsidR="00450906" w:rsidRPr="00CB1763">
        <w:rPr>
          <w:rFonts w:cs="Arial"/>
          <w:sz w:val="24"/>
          <w:szCs w:val="24"/>
          <w:lang w:val="fr-CA"/>
        </w:rPr>
        <w:t xml:space="preserve"> </w:t>
      </w:r>
      <w:r w:rsidR="003049DE" w:rsidRPr="00CB1763">
        <w:rPr>
          <w:rFonts w:cs="Arial"/>
          <w:sz w:val="24"/>
          <w:szCs w:val="24"/>
          <w:lang w:val="fr-CA"/>
        </w:rPr>
        <w:t>le directeur de la classification ou le responsable en chef</w:t>
      </w:r>
      <w:r w:rsidR="00450906" w:rsidRPr="00CB1763">
        <w:rPr>
          <w:rFonts w:cs="Arial"/>
          <w:sz w:val="24"/>
          <w:szCs w:val="24"/>
          <w:lang w:val="fr-CA"/>
        </w:rPr>
        <w:t xml:space="preserve"> </w:t>
      </w:r>
      <w:r w:rsidR="003049DE" w:rsidRPr="00CB1763">
        <w:rPr>
          <w:rFonts w:cs="Arial"/>
          <w:sz w:val="24"/>
          <w:szCs w:val="24"/>
          <w:lang w:val="fr-CA"/>
        </w:rPr>
        <w:t>ne doit pas être membre d’un jury de classification</w:t>
      </w:r>
      <w:r w:rsidR="00450906" w:rsidRPr="00CB1763">
        <w:rPr>
          <w:rFonts w:cs="Arial"/>
          <w:sz w:val="24"/>
          <w:szCs w:val="24"/>
          <w:lang w:val="fr-CA"/>
        </w:rPr>
        <w:t xml:space="preserve"> </w:t>
      </w:r>
      <w:r w:rsidR="003049DE" w:rsidRPr="00CB1763">
        <w:rPr>
          <w:rFonts w:cs="Arial"/>
          <w:sz w:val="24"/>
          <w:szCs w:val="24"/>
          <w:lang w:val="fr-CA"/>
        </w:rPr>
        <w:t>pour lequel il n’a pas les qualités voulues</w:t>
      </w:r>
      <w:r w:rsidR="00450906" w:rsidRPr="00CB1763">
        <w:rPr>
          <w:rFonts w:cs="Arial"/>
          <w:sz w:val="24"/>
          <w:szCs w:val="24"/>
          <w:lang w:val="fr-CA"/>
        </w:rPr>
        <w:t xml:space="preserve"> </w:t>
      </w:r>
      <w:r w:rsidR="0080417D" w:rsidRPr="00CB1763">
        <w:rPr>
          <w:rFonts w:cs="Arial"/>
          <w:sz w:val="24"/>
          <w:szCs w:val="24"/>
          <w:lang w:val="fr-CA"/>
        </w:rPr>
        <w:t>nécessaires permettant de classer un athlète ayant une déficience donnée</w:t>
      </w:r>
      <w:r w:rsidR="002131AD" w:rsidRPr="00CB1763">
        <w:rPr>
          <w:rFonts w:cs="Arial"/>
          <w:sz w:val="24"/>
          <w:szCs w:val="24"/>
          <w:lang w:val="fr-CA"/>
        </w:rPr>
        <w:t>,</w:t>
      </w:r>
      <w:r w:rsidR="00450906" w:rsidRPr="00CB1763">
        <w:rPr>
          <w:rFonts w:cs="Arial"/>
          <w:sz w:val="24"/>
          <w:szCs w:val="24"/>
          <w:lang w:val="fr-CA"/>
        </w:rPr>
        <w:t xml:space="preserve"> </w:t>
      </w:r>
      <w:r w:rsidR="003049DE" w:rsidRPr="00CB1763">
        <w:rPr>
          <w:rFonts w:cs="Arial"/>
          <w:sz w:val="24"/>
          <w:szCs w:val="24"/>
          <w:lang w:val="fr-CA"/>
        </w:rPr>
        <w:t>en tout premier lieu.</w:t>
      </w:r>
      <w:r w:rsidR="00450906" w:rsidRPr="00CB1763">
        <w:rPr>
          <w:rFonts w:cs="Arial"/>
          <w:sz w:val="24"/>
          <w:szCs w:val="24"/>
          <w:lang w:val="fr-CA"/>
        </w:rPr>
        <w:t xml:space="preserve"> </w:t>
      </w:r>
      <w:r w:rsidR="003049DE" w:rsidRPr="00CB1763">
        <w:rPr>
          <w:rFonts w:cs="Arial"/>
          <w:sz w:val="24"/>
          <w:szCs w:val="24"/>
          <w:lang w:val="fr-CA"/>
        </w:rPr>
        <w:t>Même si l’ACSA reconnaît que cela impose un fardeau financier</w:t>
      </w:r>
      <w:r w:rsidR="0080417D" w:rsidRPr="00CB1763">
        <w:rPr>
          <w:rFonts w:cs="Arial"/>
          <w:sz w:val="24"/>
          <w:szCs w:val="24"/>
          <w:lang w:val="fr-CA"/>
        </w:rPr>
        <w:t xml:space="preserve"> à certains sports de moindre envergure, le prix à payer n’est pas très élevé pour s’assurer que la classification sera juste et équitable, et respectera les droits des athlètes.</w:t>
      </w:r>
    </w:p>
    <w:p w:rsidR="006D6074" w:rsidRPr="00CB1763" w:rsidRDefault="006D6074" w:rsidP="006D6074">
      <w:pPr>
        <w:pStyle w:val="ListParagraph"/>
        <w:ind w:left="360" w:hanging="360"/>
        <w:rPr>
          <w:rFonts w:cs="Arial"/>
          <w:sz w:val="24"/>
          <w:szCs w:val="24"/>
          <w:lang w:val="fr-CA"/>
        </w:rPr>
      </w:pPr>
    </w:p>
    <w:p w:rsidR="001B76AB" w:rsidRPr="00CB1763" w:rsidRDefault="008B6ABC" w:rsidP="006D6074">
      <w:pPr>
        <w:pStyle w:val="ListParagraph"/>
        <w:numPr>
          <w:ilvl w:val="0"/>
          <w:numId w:val="8"/>
        </w:numPr>
        <w:ind w:left="360"/>
        <w:rPr>
          <w:rFonts w:cs="Arial"/>
          <w:sz w:val="24"/>
          <w:szCs w:val="24"/>
          <w:lang w:val="fr-CA"/>
        </w:rPr>
      </w:pPr>
      <w:r w:rsidRPr="00CB1763">
        <w:rPr>
          <w:rFonts w:cs="Arial"/>
          <w:sz w:val="24"/>
          <w:szCs w:val="24"/>
          <w:lang w:val="fr-CA"/>
        </w:rPr>
        <w:t>En dernier lieu</w:t>
      </w:r>
      <w:r w:rsidR="001B76AB" w:rsidRPr="00CB1763">
        <w:rPr>
          <w:rFonts w:cs="Arial"/>
          <w:sz w:val="24"/>
          <w:szCs w:val="24"/>
          <w:lang w:val="fr-CA"/>
        </w:rPr>
        <w:t xml:space="preserve">, </w:t>
      </w:r>
      <w:r w:rsidRPr="00CB1763">
        <w:rPr>
          <w:rFonts w:cs="Arial"/>
          <w:sz w:val="24"/>
          <w:szCs w:val="24"/>
          <w:lang w:val="fr-CA"/>
        </w:rPr>
        <w:t>l’ACSA</w:t>
      </w:r>
      <w:r w:rsidR="001B76AB" w:rsidRPr="00CB1763">
        <w:rPr>
          <w:rFonts w:cs="Arial"/>
          <w:sz w:val="24"/>
          <w:szCs w:val="24"/>
          <w:lang w:val="fr-CA"/>
        </w:rPr>
        <w:t xml:space="preserve"> </w:t>
      </w:r>
      <w:r w:rsidR="009A77B0" w:rsidRPr="00CB1763">
        <w:rPr>
          <w:rFonts w:cs="Arial"/>
          <w:sz w:val="24"/>
          <w:szCs w:val="24"/>
          <w:lang w:val="fr-CA"/>
        </w:rPr>
        <w:t>est d’avis que le responsable de la classification</w:t>
      </w:r>
      <w:r w:rsidR="001B76AB" w:rsidRPr="00CB1763">
        <w:rPr>
          <w:rFonts w:cs="Arial"/>
          <w:sz w:val="24"/>
          <w:szCs w:val="24"/>
          <w:lang w:val="fr-CA"/>
        </w:rPr>
        <w:t xml:space="preserve"> </w:t>
      </w:r>
      <w:r w:rsidR="00D7167A" w:rsidRPr="00CB1763">
        <w:rPr>
          <w:rFonts w:cs="Arial"/>
          <w:sz w:val="24"/>
          <w:szCs w:val="24"/>
          <w:lang w:val="fr-CA"/>
        </w:rPr>
        <w:t>doit avoir acquis une certaine expérience dans le domaine avant d’être nommé chef de la classification</w:t>
      </w:r>
      <w:r w:rsidR="009A77B0" w:rsidRPr="00CB1763">
        <w:rPr>
          <w:rFonts w:cs="Arial"/>
          <w:sz w:val="24"/>
          <w:szCs w:val="24"/>
          <w:lang w:val="fr-CA"/>
        </w:rPr>
        <w:t xml:space="preserve">. </w:t>
      </w:r>
      <w:r w:rsidR="002131AD" w:rsidRPr="00CB1763">
        <w:rPr>
          <w:rFonts w:cs="Arial"/>
          <w:sz w:val="24"/>
          <w:szCs w:val="24"/>
          <w:lang w:val="fr-CA"/>
        </w:rPr>
        <w:t xml:space="preserve">Il pourrait s’agir de l’expérience acquise lors d’un </w:t>
      </w:r>
      <w:r w:rsidR="00CC4B7D" w:rsidRPr="00CB1763">
        <w:rPr>
          <w:rFonts w:cs="Arial"/>
          <w:sz w:val="24"/>
          <w:szCs w:val="24"/>
          <w:lang w:val="fr-CA"/>
        </w:rPr>
        <w:t>certain nombre de compétitions d’un niveau donné, dans le cadre de la classification d’un certain nombre d’athlètes</w:t>
      </w:r>
      <w:r w:rsidRPr="00CB1763">
        <w:rPr>
          <w:rFonts w:cs="Arial"/>
          <w:sz w:val="24"/>
          <w:szCs w:val="24"/>
          <w:lang w:val="fr-CA"/>
        </w:rPr>
        <w:t xml:space="preserve">, etc. </w:t>
      </w:r>
      <w:r w:rsidR="007F3C62" w:rsidRPr="00CB1763">
        <w:rPr>
          <w:rFonts w:cs="Arial"/>
          <w:sz w:val="24"/>
          <w:szCs w:val="24"/>
          <w:lang w:val="fr-CA"/>
        </w:rPr>
        <w:t>Même si l’ACSA reconnaît que cette exigence additionnelle impose un fardeau financier à certains sports de moindre envergure</w:t>
      </w:r>
      <w:r w:rsidR="001B76AB" w:rsidRPr="00CB1763">
        <w:rPr>
          <w:rFonts w:cs="Arial"/>
          <w:sz w:val="24"/>
          <w:szCs w:val="24"/>
          <w:lang w:val="fr-CA"/>
        </w:rPr>
        <w:t xml:space="preserve">, </w:t>
      </w:r>
      <w:r w:rsidR="007F3C62" w:rsidRPr="00CB1763">
        <w:rPr>
          <w:rFonts w:cs="Arial"/>
          <w:sz w:val="24"/>
          <w:szCs w:val="24"/>
          <w:lang w:val="fr-CA"/>
        </w:rPr>
        <w:t>le prix à payer n’est pas très élevé pour s’assurer que la classification sera juste et équitable, et protégera les droits des athlètes.</w:t>
      </w:r>
    </w:p>
    <w:p w:rsidR="00834158" w:rsidRPr="00CB1763" w:rsidRDefault="00D7167A" w:rsidP="006D6074">
      <w:pPr>
        <w:pStyle w:val="Heading2"/>
        <w:numPr>
          <w:ilvl w:val="0"/>
          <w:numId w:val="11"/>
        </w:numPr>
        <w:rPr>
          <w:lang w:val="fr-CA"/>
        </w:rPr>
      </w:pPr>
      <w:bookmarkStart w:id="5" w:name="_Toc368318337"/>
      <w:r w:rsidRPr="00CB1763">
        <w:rPr>
          <w:lang w:val="fr-CA"/>
        </w:rPr>
        <w:t>Changements aux catégories de sport (</w:t>
      </w:r>
      <w:r w:rsidR="00AF1744" w:rsidRPr="00CB1763">
        <w:rPr>
          <w:lang w:val="fr-CA"/>
        </w:rPr>
        <w:t>Section 6.4</w:t>
      </w:r>
      <w:r w:rsidRPr="00CB1763">
        <w:rPr>
          <w:lang w:val="fr-CA"/>
        </w:rPr>
        <w:t xml:space="preserve"> du Code</w:t>
      </w:r>
      <w:r w:rsidR="00AF1744" w:rsidRPr="00CB1763">
        <w:rPr>
          <w:lang w:val="fr-CA"/>
        </w:rPr>
        <w:t>)</w:t>
      </w:r>
      <w:bookmarkEnd w:id="5"/>
    </w:p>
    <w:p w:rsidR="006D6074" w:rsidRPr="00CB1763" w:rsidRDefault="006D6074" w:rsidP="006D6074">
      <w:pPr>
        <w:pStyle w:val="ListParagraph"/>
        <w:rPr>
          <w:rFonts w:cs="Arial"/>
          <w:sz w:val="24"/>
          <w:szCs w:val="24"/>
          <w:lang w:val="fr-CA"/>
        </w:rPr>
      </w:pPr>
    </w:p>
    <w:p w:rsidR="007B0C90" w:rsidRPr="00CB1763" w:rsidRDefault="000E65C0" w:rsidP="006D6074">
      <w:pPr>
        <w:pStyle w:val="ListParagraph"/>
        <w:numPr>
          <w:ilvl w:val="0"/>
          <w:numId w:val="8"/>
        </w:numPr>
        <w:autoSpaceDE w:val="0"/>
        <w:autoSpaceDN w:val="0"/>
        <w:adjustRightInd w:val="0"/>
        <w:ind w:left="360"/>
        <w:rPr>
          <w:rFonts w:cs="Arial"/>
          <w:sz w:val="24"/>
          <w:szCs w:val="24"/>
          <w:lang w:val="fr-CA"/>
        </w:rPr>
      </w:pPr>
      <w:r w:rsidRPr="00CB1763">
        <w:rPr>
          <w:rFonts w:cs="Arial"/>
          <w:sz w:val="24"/>
          <w:szCs w:val="24"/>
          <w:lang w:val="fr-CA"/>
        </w:rPr>
        <w:t xml:space="preserve">La formulation de la </w:t>
      </w:r>
      <w:r w:rsidR="00521AB5" w:rsidRPr="00CB1763">
        <w:rPr>
          <w:rFonts w:cs="Arial"/>
          <w:sz w:val="24"/>
          <w:szCs w:val="24"/>
          <w:lang w:val="fr-CA"/>
        </w:rPr>
        <w:t xml:space="preserve">Section 6.4 </w:t>
      </w:r>
      <w:r w:rsidRPr="00CB1763">
        <w:rPr>
          <w:rFonts w:cs="Arial"/>
          <w:sz w:val="24"/>
          <w:szCs w:val="24"/>
          <w:lang w:val="fr-CA"/>
        </w:rPr>
        <w:t>porte à confusion. Cette disposition stipule : « </w:t>
      </w:r>
      <w:r w:rsidR="007B0C90" w:rsidRPr="00CB1763">
        <w:rPr>
          <w:rFonts w:cs="Arial"/>
          <w:sz w:val="24"/>
          <w:szCs w:val="24"/>
          <w:lang w:val="fr-CA"/>
        </w:rPr>
        <w:t xml:space="preserve">6.4.1 </w:t>
      </w:r>
      <w:r w:rsidRPr="00CB1763">
        <w:rPr>
          <w:rFonts w:cs="Arial"/>
          <w:sz w:val="24"/>
          <w:szCs w:val="24"/>
          <w:lang w:val="fr-CA"/>
        </w:rPr>
        <w:t>Les FI</w:t>
      </w:r>
      <w:r w:rsidR="007B0C90" w:rsidRPr="00CB1763">
        <w:rPr>
          <w:rFonts w:cs="Arial"/>
          <w:sz w:val="24"/>
          <w:szCs w:val="24"/>
          <w:lang w:val="fr-CA"/>
        </w:rPr>
        <w:t xml:space="preserve"> </w:t>
      </w:r>
      <w:r w:rsidR="00EB35A8" w:rsidRPr="00CB1763">
        <w:rPr>
          <w:rFonts w:cs="Arial"/>
          <w:sz w:val="24"/>
          <w:szCs w:val="24"/>
          <w:lang w:val="fr-CA"/>
        </w:rPr>
        <w:t>doivent énoncer clairement les consé</w:t>
      </w:r>
      <w:r w:rsidR="007B0C90" w:rsidRPr="00CB1763">
        <w:rPr>
          <w:rFonts w:cs="Arial"/>
          <w:sz w:val="24"/>
          <w:szCs w:val="24"/>
          <w:lang w:val="fr-CA"/>
        </w:rPr>
        <w:t xml:space="preserve">quences </w:t>
      </w:r>
      <w:r w:rsidR="00EB35A8" w:rsidRPr="00CB1763">
        <w:rPr>
          <w:rFonts w:cs="Arial"/>
          <w:sz w:val="24"/>
          <w:szCs w:val="24"/>
          <w:lang w:val="fr-CA"/>
        </w:rPr>
        <w:t>et les</w:t>
      </w:r>
      <w:r w:rsidR="00431297" w:rsidRPr="00CB1763">
        <w:rPr>
          <w:rFonts w:cs="Arial"/>
          <w:sz w:val="24"/>
          <w:szCs w:val="24"/>
          <w:lang w:val="fr-CA"/>
        </w:rPr>
        <w:t xml:space="preserve"> procé</w:t>
      </w:r>
      <w:r w:rsidR="007B0C90" w:rsidRPr="00CB1763">
        <w:rPr>
          <w:rFonts w:cs="Arial"/>
          <w:sz w:val="24"/>
          <w:szCs w:val="24"/>
          <w:lang w:val="fr-CA"/>
        </w:rPr>
        <w:t xml:space="preserve">dures </w:t>
      </w:r>
      <w:r w:rsidR="0030777F" w:rsidRPr="00CB1763">
        <w:rPr>
          <w:rFonts w:cs="Arial"/>
          <w:sz w:val="24"/>
          <w:szCs w:val="24"/>
          <w:lang w:val="fr-CA"/>
        </w:rPr>
        <w:t>concernant les changements aux catégories de sport</w:t>
      </w:r>
      <w:r w:rsidR="007B0C90" w:rsidRPr="00CB1763">
        <w:rPr>
          <w:rFonts w:cs="Arial"/>
          <w:sz w:val="24"/>
          <w:szCs w:val="24"/>
          <w:lang w:val="fr-CA"/>
        </w:rPr>
        <w:t xml:space="preserve"> </w:t>
      </w:r>
      <w:r w:rsidR="0030777F" w:rsidRPr="00CB1763">
        <w:rPr>
          <w:rFonts w:cs="Arial"/>
          <w:sz w:val="24"/>
          <w:szCs w:val="24"/>
          <w:lang w:val="fr-CA"/>
        </w:rPr>
        <w:t>sur les ré</w:t>
      </w:r>
      <w:r w:rsidR="007B0C90" w:rsidRPr="00CB1763">
        <w:rPr>
          <w:rFonts w:cs="Arial"/>
          <w:sz w:val="24"/>
          <w:szCs w:val="24"/>
          <w:lang w:val="fr-CA"/>
        </w:rPr>
        <w:t>sult</w:t>
      </w:r>
      <w:r w:rsidR="0030777F" w:rsidRPr="00CB1763">
        <w:rPr>
          <w:rFonts w:cs="Arial"/>
          <w:sz w:val="24"/>
          <w:szCs w:val="24"/>
          <w:lang w:val="fr-CA"/>
        </w:rPr>
        <w:t>at</w:t>
      </w:r>
      <w:r w:rsidR="007B0C90" w:rsidRPr="00CB1763">
        <w:rPr>
          <w:rFonts w:cs="Arial"/>
          <w:sz w:val="24"/>
          <w:szCs w:val="24"/>
          <w:lang w:val="fr-CA"/>
        </w:rPr>
        <w:t xml:space="preserve">s, </w:t>
      </w:r>
      <w:r w:rsidR="0030777F" w:rsidRPr="00CB1763">
        <w:rPr>
          <w:rFonts w:cs="Arial"/>
          <w:sz w:val="24"/>
          <w:szCs w:val="24"/>
          <w:lang w:val="fr-CA"/>
        </w:rPr>
        <w:t xml:space="preserve">les </w:t>
      </w:r>
      <w:r w:rsidR="007B0C90" w:rsidRPr="00CB1763">
        <w:rPr>
          <w:rFonts w:cs="Arial"/>
          <w:sz w:val="24"/>
          <w:szCs w:val="24"/>
          <w:lang w:val="fr-CA"/>
        </w:rPr>
        <w:t xml:space="preserve">records, </w:t>
      </w:r>
      <w:r w:rsidR="0030777F" w:rsidRPr="00CB1763">
        <w:rPr>
          <w:rFonts w:cs="Arial"/>
          <w:sz w:val="24"/>
          <w:szCs w:val="24"/>
          <w:lang w:val="fr-CA"/>
        </w:rPr>
        <w:t>le classement et les médailles attribuées ».</w:t>
      </w:r>
    </w:p>
    <w:p w:rsidR="007B0C90" w:rsidRPr="00CB1763" w:rsidRDefault="007B0C90" w:rsidP="007B0C90">
      <w:pPr>
        <w:autoSpaceDE w:val="0"/>
        <w:autoSpaceDN w:val="0"/>
        <w:adjustRightInd w:val="0"/>
        <w:spacing w:after="0" w:line="240" w:lineRule="auto"/>
        <w:rPr>
          <w:rFonts w:ascii="Arial" w:hAnsi="Arial" w:cs="Arial"/>
          <w:sz w:val="24"/>
          <w:szCs w:val="24"/>
          <w:lang w:val="fr-CA"/>
        </w:rPr>
      </w:pPr>
    </w:p>
    <w:p w:rsidR="00110219" w:rsidRPr="00CB1763" w:rsidRDefault="00F906AF" w:rsidP="006D6074">
      <w:pPr>
        <w:pStyle w:val="ListParagraph"/>
        <w:numPr>
          <w:ilvl w:val="0"/>
          <w:numId w:val="8"/>
        </w:numPr>
        <w:autoSpaceDE w:val="0"/>
        <w:autoSpaceDN w:val="0"/>
        <w:adjustRightInd w:val="0"/>
        <w:ind w:left="360"/>
        <w:rPr>
          <w:rFonts w:cs="Arial"/>
          <w:sz w:val="24"/>
          <w:szCs w:val="24"/>
          <w:lang w:val="fr-CA"/>
        </w:rPr>
      </w:pPr>
      <w:r w:rsidRPr="00CB1763">
        <w:rPr>
          <w:rFonts w:cs="Arial"/>
          <w:sz w:val="24"/>
          <w:szCs w:val="24"/>
          <w:lang w:val="fr-CA"/>
        </w:rPr>
        <w:t>Selon une interpré</w:t>
      </w:r>
      <w:r w:rsidR="007B0C90" w:rsidRPr="00CB1763">
        <w:rPr>
          <w:rFonts w:cs="Arial"/>
          <w:sz w:val="24"/>
          <w:szCs w:val="24"/>
          <w:lang w:val="fr-CA"/>
        </w:rPr>
        <w:t xml:space="preserve">tation </w:t>
      </w:r>
      <w:r w:rsidRPr="00CB1763">
        <w:rPr>
          <w:rFonts w:cs="Arial"/>
          <w:sz w:val="24"/>
          <w:szCs w:val="24"/>
          <w:lang w:val="fr-CA"/>
        </w:rPr>
        <w:t>de cette disposition,</w:t>
      </w:r>
      <w:r w:rsidR="007B0C90" w:rsidRPr="00CB1763">
        <w:rPr>
          <w:rFonts w:cs="Arial"/>
          <w:sz w:val="24"/>
          <w:szCs w:val="24"/>
          <w:lang w:val="fr-CA"/>
        </w:rPr>
        <w:t xml:space="preserve"> </w:t>
      </w:r>
      <w:r w:rsidR="00E85BBF" w:rsidRPr="00CB1763">
        <w:rPr>
          <w:rFonts w:cs="Arial"/>
          <w:sz w:val="24"/>
          <w:szCs w:val="24"/>
          <w:lang w:val="fr-CA"/>
        </w:rPr>
        <w:t>le texte contredit la finalité, ou l’objet, du Code établi à la Section 2.1.</w:t>
      </w:r>
      <w:r w:rsidR="007B0C90" w:rsidRPr="00CB1763">
        <w:rPr>
          <w:rFonts w:cs="Arial"/>
          <w:sz w:val="24"/>
          <w:szCs w:val="24"/>
          <w:lang w:val="fr-CA"/>
        </w:rPr>
        <w:t xml:space="preserve"> </w:t>
      </w:r>
      <w:r w:rsidR="000E1F6C" w:rsidRPr="00CB1763">
        <w:rPr>
          <w:rFonts w:cs="Arial"/>
          <w:sz w:val="24"/>
          <w:szCs w:val="24"/>
          <w:lang w:val="fr-CA"/>
        </w:rPr>
        <w:t>Si l’on tient compte du texte de la Section 2.1</w:t>
      </w:r>
      <w:r w:rsidR="001B76AB" w:rsidRPr="00CB1763">
        <w:rPr>
          <w:rFonts w:cs="Arial"/>
          <w:sz w:val="24"/>
          <w:szCs w:val="24"/>
          <w:lang w:val="fr-CA"/>
        </w:rPr>
        <w:t xml:space="preserve"> </w:t>
      </w:r>
      <w:r w:rsidR="000E1F6C" w:rsidRPr="00CB1763">
        <w:rPr>
          <w:rFonts w:cs="Arial"/>
          <w:sz w:val="24"/>
          <w:szCs w:val="24"/>
          <w:lang w:val="fr-CA"/>
        </w:rPr>
        <w:t>au moment d’</w:t>
      </w:r>
      <w:r w:rsidR="00151D8C" w:rsidRPr="00CB1763">
        <w:rPr>
          <w:rFonts w:cs="Arial"/>
          <w:sz w:val="24"/>
          <w:szCs w:val="24"/>
          <w:lang w:val="fr-CA"/>
        </w:rPr>
        <w:t>interpréter cette section du Code,</w:t>
      </w:r>
      <w:r w:rsidR="001B76AB" w:rsidRPr="00CB1763">
        <w:rPr>
          <w:rFonts w:cs="Arial"/>
          <w:sz w:val="24"/>
          <w:szCs w:val="24"/>
          <w:lang w:val="fr-CA"/>
        </w:rPr>
        <w:t xml:space="preserve"> </w:t>
      </w:r>
      <w:r w:rsidR="00151D8C" w:rsidRPr="00CB1763">
        <w:rPr>
          <w:rFonts w:cs="Arial"/>
          <w:sz w:val="24"/>
          <w:szCs w:val="24"/>
          <w:lang w:val="fr-CA"/>
        </w:rPr>
        <w:t>un athlè</w:t>
      </w:r>
      <w:r w:rsidR="007B0C90" w:rsidRPr="00CB1763">
        <w:rPr>
          <w:rFonts w:cs="Arial"/>
          <w:sz w:val="24"/>
          <w:szCs w:val="24"/>
          <w:lang w:val="fr-CA"/>
        </w:rPr>
        <w:t xml:space="preserve">te </w:t>
      </w:r>
      <w:r w:rsidR="00151D8C" w:rsidRPr="00CB1763">
        <w:rPr>
          <w:rFonts w:cs="Arial"/>
          <w:sz w:val="24"/>
          <w:szCs w:val="24"/>
          <w:lang w:val="fr-CA"/>
        </w:rPr>
        <w:t xml:space="preserve">pourrait </w:t>
      </w:r>
      <w:r w:rsidR="001F479B" w:rsidRPr="00CB1763">
        <w:rPr>
          <w:rFonts w:cs="Arial"/>
          <w:sz w:val="24"/>
          <w:szCs w:val="24"/>
          <w:lang w:val="fr-CA"/>
        </w:rPr>
        <w:t>être disqualifié</w:t>
      </w:r>
      <w:r w:rsidR="007B0C90" w:rsidRPr="00CB1763">
        <w:rPr>
          <w:rFonts w:cs="Arial"/>
          <w:sz w:val="24"/>
          <w:szCs w:val="24"/>
          <w:lang w:val="fr-CA"/>
        </w:rPr>
        <w:t xml:space="preserve"> </w:t>
      </w:r>
      <w:r w:rsidR="001F479B" w:rsidRPr="00CB1763">
        <w:rPr>
          <w:rFonts w:cs="Arial"/>
          <w:sz w:val="24"/>
          <w:szCs w:val="24"/>
          <w:lang w:val="fr-CA"/>
        </w:rPr>
        <w:t>advenant un changement à sa catégorie à la suite d’un protêt ou d’un appel reçu favorablement une fois l’épreuve terminée.</w:t>
      </w:r>
      <w:r w:rsidR="00C4012D" w:rsidRPr="00CB1763">
        <w:rPr>
          <w:rFonts w:cs="Arial"/>
          <w:sz w:val="24"/>
          <w:szCs w:val="24"/>
          <w:lang w:val="fr-CA"/>
        </w:rPr>
        <w:t xml:space="preserve"> </w:t>
      </w:r>
      <w:r w:rsidR="001F479B" w:rsidRPr="00CB1763">
        <w:rPr>
          <w:rFonts w:cs="Arial"/>
          <w:sz w:val="24"/>
          <w:szCs w:val="24"/>
          <w:lang w:val="fr-CA"/>
        </w:rPr>
        <w:t>Par contre, s</w:t>
      </w:r>
      <w:r w:rsidR="00E85BBF" w:rsidRPr="00CB1763">
        <w:rPr>
          <w:rFonts w:cs="Arial"/>
          <w:sz w:val="24"/>
          <w:szCs w:val="24"/>
          <w:lang w:val="fr-CA"/>
        </w:rPr>
        <w:t xml:space="preserve">i la </w:t>
      </w:r>
      <w:r w:rsidR="001F479B" w:rsidRPr="00CB1763">
        <w:rPr>
          <w:rFonts w:cs="Arial"/>
          <w:sz w:val="24"/>
          <w:szCs w:val="24"/>
          <w:lang w:val="fr-CA"/>
        </w:rPr>
        <w:t>compé</w:t>
      </w:r>
      <w:r w:rsidR="00E85BBF" w:rsidRPr="00CB1763">
        <w:rPr>
          <w:rFonts w:cs="Arial"/>
          <w:sz w:val="24"/>
          <w:szCs w:val="24"/>
          <w:lang w:val="fr-CA"/>
        </w:rPr>
        <w:t>tition n’a pas encore eu lieu</w:t>
      </w:r>
      <w:r w:rsidR="001F479B" w:rsidRPr="00CB1763">
        <w:rPr>
          <w:rFonts w:cs="Arial"/>
          <w:sz w:val="24"/>
          <w:szCs w:val="24"/>
          <w:lang w:val="fr-CA"/>
        </w:rPr>
        <w:t>, l’athlè</w:t>
      </w:r>
      <w:r w:rsidR="007B0C90" w:rsidRPr="00CB1763">
        <w:rPr>
          <w:rFonts w:cs="Arial"/>
          <w:sz w:val="24"/>
          <w:szCs w:val="24"/>
          <w:lang w:val="fr-CA"/>
        </w:rPr>
        <w:t xml:space="preserve">te </w:t>
      </w:r>
      <w:r w:rsidR="001F479B" w:rsidRPr="00CB1763">
        <w:rPr>
          <w:rFonts w:cs="Arial"/>
          <w:sz w:val="24"/>
          <w:szCs w:val="24"/>
          <w:lang w:val="fr-CA"/>
        </w:rPr>
        <w:t>serait autorisé à y prendre part</w:t>
      </w:r>
      <w:r w:rsidR="007B0C90" w:rsidRPr="00CB1763">
        <w:rPr>
          <w:rFonts w:cs="Arial"/>
          <w:sz w:val="24"/>
          <w:szCs w:val="24"/>
          <w:lang w:val="fr-CA"/>
        </w:rPr>
        <w:t xml:space="preserve"> </w:t>
      </w:r>
      <w:r w:rsidR="001F479B" w:rsidRPr="00CB1763">
        <w:rPr>
          <w:rFonts w:cs="Arial"/>
          <w:sz w:val="24"/>
          <w:szCs w:val="24"/>
          <w:lang w:val="fr-CA"/>
        </w:rPr>
        <w:t>dans sa nouvelle catégorie, s’il est toujours admissible, ou</w:t>
      </w:r>
      <w:r w:rsidR="007B0C90" w:rsidRPr="00CB1763">
        <w:rPr>
          <w:rFonts w:cs="Arial"/>
          <w:sz w:val="24"/>
          <w:szCs w:val="24"/>
          <w:lang w:val="fr-CA"/>
        </w:rPr>
        <w:t xml:space="preserve"> </w:t>
      </w:r>
      <w:r w:rsidR="001F479B" w:rsidRPr="00CB1763">
        <w:rPr>
          <w:rFonts w:cs="Arial"/>
          <w:sz w:val="24"/>
          <w:szCs w:val="24"/>
          <w:lang w:val="fr-CA"/>
        </w:rPr>
        <w:t>jugé inadmissible s’</w:t>
      </w:r>
      <w:r w:rsidR="00EF45EC" w:rsidRPr="00CB1763">
        <w:rPr>
          <w:rFonts w:cs="Arial"/>
          <w:sz w:val="24"/>
          <w:szCs w:val="24"/>
          <w:lang w:val="fr-CA"/>
        </w:rPr>
        <w:t>il ne répond pas aux</w:t>
      </w:r>
      <w:r w:rsidR="007B0C90" w:rsidRPr="00CB1763">
        <w:rPr>
          <w:rFonts w:cs="Arial"/>
          <w:sz w:val="24"/>
          <w:szCs w:val="24"/>
          <w:lang w:val="fr-CA"/>
        </w:rPr>
        <w:t xml:space="preserve"> </w:t>
      </w:r>
      <w:r w:rsidR="00EF45EC" w:rsidRPr="00CB1763">
        <w:rPr>
          <w:rFonts w:cs="Arial"/>
          <w:sz w:val="24"/>
          <w:szCs w:val="24"/>
          <w:lang w:val="fr-CA"/>
        </w:rPr>
        <w:t>exigences de la</w:t>
      </w:r>
      <w:r w:rsidR="007B0C90" w:rsidRPr="00CB1763">
        <w:rPr>
          <w:rFonts w:cs="Arial"/>
          <w:sz w:val="24"/>
          <w:szCs w:val="24"/>
          <w:lang w:val="fr-CA"/>
        </w:rPr>
        <w:t xml:space="preserve"> Section 5 </w:t>
      </w:r>
      <w:r w:rsidR="00EF45EC" w:rsidRPr="00CB1763">
        <w:rPr>
          <w:rFonts w:cs="Arial"/>
          <w:sz w:val="24"/>
          <w:szCs w:val="24"/>
          <w:lang w:val="fr-CA"/>
        </w:rPr>
        <w:t>du</w:t>
      </w:r>
      <w:r w:rsidR="007B0C90" w:rsidRPr="00CB1763">
        <w:rPr>
          <w:rFonts w:cs="Arial"/>
          <w:sz w:val="24"/>
          <w:szCs w:val="24"/>
          <w:lang w:val="fr-CA"/>
        </w:rPr>
        <w:t xml:space="preserve"> Code </w:t>
      </w:r>
      <w:r w:rsidR="00EF45EC" w:rsidRPr="00CB1763">
        <w:rPr>
          <w:rFonts w:cs="Arial"/>
          <w:sz w:val="24"/>
          <w:szCs w:val="24"/>
          <w:lang w:val="fr-CA"/>
        </w:rPr>
        <w:t>et aux règles correspondantes de la FI</w:t>
      </w:r>
      <w:r w:rsidR="007B0C90" w:rsidRPr="00CB1763">
        <w:rPr>
          <w:rFonts w:cs="Arial"/>
          <w:sz w:val="24"/>
          <w:szCs w:val="24"/>
          <w:lang w:val="fr-CA"/>
        </w:rPr>
        <w:t>.</w:t>
      </w:r>
      <w:r w:rsidR="00041117" w:rsidRPr="00CB1763">
        <w:rPr>
          <w:rFonts w:cs="Arial"/>
          <w:sz w:val="24"/>
          <w:szCs w:val="24"/>
          <w:lang w:val="fr-CA"/>
        </w:rPr>
        <w:t xml:space="preserve"> </w:t>
      </w:r>
      <w:r w:rsidR="00E85BBF" w:rsidRPr="00CB1763">
        <w:rPr>
          <w:rFonts w:cs="Arial"/>
          <w:sz w:val="24"/>
          <w:szCs w:val="24"/>
          <w:lang w:val="fr-CA"/>
        </w:rPr>
        <w:t>La Section 7 du</w:t>
      </w:r>
      <w:r w:rsidR="00041117" w:rsidRPr="00CB1763">
        <w:rPr>
          <w:rFonts w:cs="Arial"/>
          <w:sz w:val="24"/>
          <w:szCs w:val="24"/>
          <w:lang w:val="fr-CA"/>
        </w:rPr>
        <w:t xml:space="preserve"> Code </w:t>
      </w:r>
      <w:r w:rsidR="00E85BBF" w:rsidRPr="00CB1763">
        <w:rPr>
          <w:rFonts w:cs="Arial"/>
          <w:sz w:val="24"/>
          <w:szCs w:val="24"/>
          <w:lang w:val="fr-CA"/>
        </w:rPr>
        <w:t xml:space="preserve">pourrait être </w:t>
      </w:r>
      <w:r w:rsidR="00EF45EC" w:rsidRPr="00CB1763">
        <w:rPr>
          <w:rFonts w:cs="Arial"/>
          <w:sz w:val="24"/>
          <w:szCs w:val="24"/>
          <w:lang w:val="fr-CA"/>
        </w:rPr>
        <w:t>fusionnée à la Section 6, pour mieux s’occuper de ce type d’enjeux à l’avenir.</w:t>
      </w:r>
    </w:p>
    <w:p w:rsidR="006D6074" w:rsidRPr="00CB1763" w:rsidRDefault="006D6074" w:rsidP="006D6074">
      <w:pPr>
        <w:pStyle w:val="ListParagraph"/>
        <w:autoSpaceDE w:val="0"/>
        <w:autoSpaceDN w:val="0"/>
        <w:adjustRightInd w:val="0"/>
        <w:rPr>
          <w:rFonts w:cs="Arial"/>
          <w:sz w:val="24"/>
          <w:szCs w:val="24"/>
          <w:lang w:val="fr-CA"/>
        </w:rPr>
      </w:pPr>
    </w:p>
    <w:p w:rsidR="007B0C90" w:rsidRPr="00CB1763" w:rsidRDefault="00580085" w:rsidP="006D6074">
      <w:pPr>
        <w:pStyle w:val="ListParagraph"/>
        <w:numPr>
          <w:ilvl w:val="0"/>
          <w:numId w:val="8"/>
        </w:numPr>
        <w:autoSpaceDE w:val="0"/>
        <w:autoSpaceDN w:val="0"/>
        <w:adjustRightInd w:val="0"/>
        <w:ind w:left="360"/>
        <w:rPr>
          <w:rFonts w:cs="Arial"/>
          <w:sz w:val="24"/>
          <w:szCs w:val="24"/>
          <w:lang w:val="fr-CA"/>
        </w:rPr>
      </w:pPr>
      <w:r w:rsidRPr="00CB1763">
        <w:rPr>
          <w:rFonts w:cs="Arial"/>
          <w:sz w:val="24"/>
          <w:szCs w:val="24"/>
          <w:lang w:val="fr-CA"/>
        </w:rPr>
        <w:t>Une autre interprétation possible de cette disposition</w:t>
      </w:r>
      <w:r w:rsidR="007B0C90" w:rsidRPr="00CB1763">
        <w:rPr>
          <w:rFonts w:cs="Arial"/>
          <w:sz w:val="24"/>
          <w:szCs w:val="24"/>
          <w:lang w:val="fr-CA"/>
        </w:rPr>
        <w:t xml:space="preserve"> </w:t>
      </w:r>
      <w:r w:rsidRPr="00CB1763">
        <w:rPr>
          <w:rFonts w:cs="Arial"/>
          <w:sz w:val="24"/>
          <w:szCs w:val="24"/>
          <w:lang w:val="fr-CA"/>
        </w:rPr>
        <w:t xml:space="preserve">serait de s’en remettre entièrement à la FI, ce qui </w:t>
      </w:r>
      <w:r w:rsidR="00F66843" w:rsidRPr="00CB1763">
        <w:rPr>
          <w:rFonts w:cs="Arial"/>
          <w:sz w:val="24"/>
          <w:szCs w:val="24"/>
          <w:lang w:val="fr-CA"/>
        </w:rPr>
        <w:t>représente toutefois un risque d’obtenir des</w:t>
      </w:r>
      <w:r w:rsidRPr="00CB1763">
        <w:rPr>
          <w:rFonts w:cs="Arial"/>
          <w:sz w:val="24"/>
          <w:szCs w:val="24"/>
          <w:lang w:val="fr-CA"/>
        </w:rPr>
        <w:t xml:space="preserve"> résultats incohérents. </w:t>
      </w:r>
      <w:r w:rsidR="00F66843" w:rsidRPr="00CB1763">
        <w:rPr>
          <w:rFonts w:cs="Arial"/>
          <w:sz w:val="24"/>
          <w:szCs w:val="24"/>
          <w:lang w:val="fr-CA"/>
        </w:rPr>
        <w:t>Cela pourrait créer des problèmes de relations</w:t>
      </w:r>
      <w:r w:rsidR="00D41C38">
        <w:rPr>
          <w:rFonts w:cs="Arial"/>
          <w:sz w:val="24"/>
          <w:szCs w:val="24"/>
          <w:lang w:val="fr-CA"/>
        </w:rPr>
        <w:t xml:space="preserve"> publiques, ou autres, pour le M</w:t>
      </w:r>
      <w:r w:rsidR="00F66843" w:rsidRPr="00CB1763">
        <w:rPr>
          <w:rFonts w:cs="Arial"/>
          <w:sz w:val="24"/>
          <w:szCs w:val="24"/>
          <w:lang w:val="fr-CA"/>
        </w:rPr>
        <w:t>ouvement paralympique,</w:t>
      </w:r>
      <w:r w:rsidR="007B0C90" w:rsidRPr="00CB1763">
        <w:rPr>
          <w:rFonts w:cs="Arial"/>
          <w:sz w:val="24"/>
          <w:szCs w:val="24"/>
          <w:lang w:val="fr-CA"/>
        </w:rPr>
        <w:t xml:space="preserve"> </w:t>
      </w:r>
      <w:r w:rsidR="00F66843" w:rsidRPr="00CB1763">
        <w:rPr>
          <w:rFonts w:cs="Arial"/>
          <w:sz w:val="24"/>
          <w:szCs w:val="24"/>
          <w:lang w:val="fr-CA"/>
        </w:rPr>
        <w:t>car le grand public ne p</w:t>
      </w:r>
      <w:r w:rsidR="00DC3934" w:rsidRPr="00CB1763">
        <w:rPr>
          <w:rFonts w:cs="Arial"/>
          <w:sz w:val="24"/>
          <w:szCs w:val="24"/>
          <w:lang w:val="fr-CA"/>
        </w:rPr>
        <w:t>ourrait</w:t>
      </w:r>
      <w:r w:rsidR="00F66843" w:rsidRPr="00CB1763">
        <w:rPr>
          <w:rFonts w:cs="Arial"/>
          <w:sz w:val="24"/>
          <w:szCs w:val="24"/>
          <w:lang w:val="fr-CA"/>
        </w:rPr>
        <w:t xml:space="preserve"> comprendre</w:t>
      </w:r>
      <w:r w:rsidR="007B0C90" w:rsidRPr="00CB1763">
        <w:rPr>
          <w:rFonts w:cs="Arial"/>
          <w:sz w:val="24"/>
          <w:szCs w:val="24"/>
          <w:lang w:val="fr-CA"/>
        </w:rPr>
        <w:t xml:space="preserve"> </w:t>
      </w:r>
      <w:r w:rsidR="00F66843" w:rsidRPr="00CB1763">
        <w:rPr>
          <w:rFonts w:cs="Arial"/>
          <w:sz w:val="24"/>
          <w:szCs w:val="24"/>
          <w:lang w:val="fr-CA"/>
        </w:rPr>
        <w:t>pourquoi ses athlètes « </w:t>
      </w:r>
      <w:r w:rsidR="00D41C38">
        <w:rPr>
          <w:rFonts w:cs="Arial"/>
          <w:sz w:val="24"/>
          <w:szCs w:val="24"/>
          <w:lang w:val="fr-CA"/>
        </w:rPr>
        <w:t>favoris</w:t>
      </w:r>
      <w:r w:rsidR="00F66843" w:rsidRPr="00CB1763">
        <w:rPr>
          <w:rFonts w:cs="Arial"/>
          <w:sz w:val="24"/>
          <w:szCs w:val="24"/>
          <w:lang w:val="fr-CA"/>
        </w:rPr>
        <w:t> »</w:t>
      </w:r>
      <w:r w:rsidR="007B0C90" w:rsidRPr="00CB1763">
        <w:rPr>
          <w:rFonts w:cs="Arial"/>
          <w:sz w:val="24"/>
          <w:szCs w:val="24"/>
          <w:lang w:val="fr-CA"/>
        </w:rPr>
        <w:t xml:space="preserve"> </w:t>
      </w:r>
      <w:r w:rsidR="00F66843" w:rsidRPr="00CB1763">
        <w:rPr>
          <w:rFonts w:cs="Arial"/>
          <w:sz w:val="24"/>
          <w:szCs w:val="24"/>
          <w:lang w:val="fr-CA"/>
        </w:rPr>
        <w:t>ne participent pas à l</w:t>
      </w:r>
      <w:r w:rsidR="00EC228C" w:rsidRPr="00CB1763">
        <w:rPr>
          <w:rFonts w:cs="Arial"/>
          <w:sz w:val="24"/>
          <w:szCs w:val="24"/>
          <w:lang w:val="fr-CA"/>
        </w:rPr>
        <w:t>a compétition dans la catégorie prévue</w:t>
      </w:r>
      <w:r w:rsidR="007B0C90" w:rsidRPr="00CB1763">
        <w:rPr>
          <w:rFonts w:cs="Arial"/>
          <w:sz w:val="24"/>
          <w:szCs w:val="24"/>
          <w:lang w:val="fr-CA"/>
        </w:rPr>
        <w:t xml:space="preserve">. </w:t>
      </w:r>
      <w:r w:rsidR="000E1F6C" w:rsidRPr="00CB1763">
        <w:rPr>
          <w:rFonts w:cs="Arial"/>
          <w:sz w:val="24"/>
          <w:szCs w:val="24"/>
          <w:lang w:val="fr-CA"/>
        </w:rPr>
        <w:t>L</w:t>
      </w:r>
      <w:r w:rsidR="00E1333A" w:rsidRPr="00CB1763">
        <w:rPr>
          <w:rFonts w:cs="Arial"/>
          <w:sz w:val="24"/>
          <w:szCs w:val="24"/>
          <w:lang w:val="fr-CA"/>
        </w:rPr>
        <w:t xml:space="preserve">e Code </w:t>
      </w:r>
      <w:r w:rsidR="00DC3934" w:rsidRPr="00CB1763">
        <w:rPr>
          <w:rFonts w:cs="Arial"/>
          <w:sz w:val="24"/>
          <w:szCs w:val="24"/>
          <w:lang w:val="fr-CA"/>
        </w:rPr>
        <w:t>devrait être plus clair à l’intention des FI, à cet égard</w:t>
      </w:r>
      <w:r w:rsidR="009073A7" w:rsidRPr="00CB1763">
        <w:rPr>
          <w:rFonts w:cs="Arial"/>
          <w:sz w:val="24"/>
          <w:szCs w:val="24"/>
          <w:lang w:val="fr-CA"/>
        </w:rPr>
        <w:t>, car il s’agit d’un point important</w:t>
      </w:r>
      <w:r w:rsidR="00E1333A" w:rsidRPr="00CB1763">
        <w:rPr>
          <w:rFonts w:cs="Arial"/>
          <w:sz w:val="24"/>
          <w:szCs w:val="24"/>
          <w:lang w:val="fr-CA"/>
        </w:rPr>
        <w:t>.</w:t>
      </w:r>
    </w:p>
    <w:p w:rsidR="00E1333A" w:rsidRPr="00CB1763" w:rsidRDefault="00E1333A" w:rsidP="007B0C90">
      <w:pPr>
        <w:autoSpaceDE w:val="0"/>
        <w:autoSpaceDN w:val="0"/>
        <w:adjustRightInd w:val="0"/>
        <w:spacing w:after="0" w:line="240" w:lineRule="auto"/>
        <w:rPr>
          <w:rFonts w:ascii="Arial" w:hAnsi="Arial" w:cs="Arial"/>
          <w:sz w:val="24"/>
          <w:szCs w:val="24"/>
          <w:lang w:val="fr-CA"/>
        </w:rPr>
      </w:pPr>
    </w:p>
    <w:p w:rsidR="008D53E0" w:rsidRPr="00CB1763" w:rsidRDefault="007912BC" w:rsidP="006D6074">
      <w:pPr>
        <w:pStyle w:val="ListParagraph"/>
        <w:numPr>
          <w:ilvl w:val="0"/>
          <w:numId w:val="8"/>
        </w:numPr>
        <w:ind w:left="360"/>
        <w:rPr>
          <w:rFonts w:cs="Arial"/>
          <w:sz w:val="24"/>
          <w:szCs w:val="24"/>
          <w:lang w:val="fr-CA"/>
        </w:rPr>
      </w:pPr>
      <w:r w:rsidRPr="00CB1763">
        <w:rPr>
          <w:rFonts w:cs="Arial"/>
          <w:sz w:val="24"/>
          <w:szCs w:val="24"/>
          <w:lang w:val="fr-CA"/>
        </w:rPr>
        <w:t>D’autres précisions concernant les conséquences et les procé</w:t>
      </w:r>
      <w:r w:rsidR="008D53E0" w:rsidRPr="00CB1763">
        <w:rPr>
          <w:rFonts w:cs="Arial"/>
          <w:sz w:val="24"/>
          <w:szCs w:val="24"/>
          <w:lang w:val="fr-CA"/>
        </w:rPr>
        <w:t xml:space="preserve">dures </w:t>
      </w:r>
      <w:r w:rsidR="00991FAB" w:rsidRPr="00CB1763">
        <w:rPr>
          <w:rFonts w:cs="Arial"/>
          <w:sz w:val="24"/>
          <w:szCs w:val="24"/>
          <w:lang w:val="fr-CA"/>
        </w:rPr>
        <w:t>relatives aux changements de catégorie</w:t>
      </w:r>
      <w:r w:rsidR="008D53E0" w:rsidRPr="00CB1763">
        <w:rPr>
          <w:rFonts w:cs="Arial"/>
          <w:sz w:val="24"/>
          <w:szCs w:val="24"/>
          <w:lang w:val="fr-CA"/>
        </w:rPr>
        <w:t xml:space="preserve"> </w:t>
      </w:r>
      <w:r w:rsidR="00991FAB" w:rsidRPr="00CB1763">
        <w:rPr>
          <w:rFonts w:cs="Arial"/>
          <w:sz w:val="24"/>
          <w:szCs w:val="24"/>
          <w:lang w:val="fr-CA"/>
        </w:rPr>
        <w:t>devraient se trouver ailleurs dans le Code ou</w:t>
      </w:r>
      <w:r w:rsidR="007C6BBB" w:rsidRPr="00CB1763">
        <w:rPr>
          <w:rFonts w:cs="Arial"/>
          <w:sz w:val="24"/>
          <w:szCs w:val="24"/>
          <w:lang w:val="fr-CA"/>
        </w:rPr>
        <w:t xml:space="preserve"> </w:t>
      </w:r>
      <w:r w:rsidR="00991FAB" w:rsidRPr="00CB1763">
        <w:rPr>
          <w:rFonts w:cs="Arial"/>
          <w:sz w:val="24"/>
          <w:szCs w:val="24"/>
          <w:lang w:val="fr-CA"/>
        </w:rPr>
        <w:t xml:space="preserve">dans une </w:t>
      </w:r>
      <w:r w:rsidR="00991FAB" w:rsidRPr="00CB1763">
        <w:rPr>
          <w:rFonts w:cs="Arial"/>
          <w:sz w:val="24"/>
          <w:szCs w:val="24"/>
          <w:lang w:val="fr-CA"/>
        </w:rPr>
        <w:lastRenderedPageBreak/>
        <w:t>pratique exemplaire</w:t>
      </w:r>
      <w:r w:rsidR="009073A7" w:rsidRPr="00CB1763">
        <w:rPr>
          <w:rFonts w:cs="Arial"/>
          <w:sz w:val="24"/>
          <w:szCs w:val="24"/>
          <w:lang w:val="fr-CA"/>
        </w:rPr>
        <w:t>.</w:t>
      </w:r>
      <w:r w:rsidR="008D53E0" w:rsidRPr="00CB1763">
        <w:rPr>
          <w:rFonts w:cs="Arial"/>
          <w:sz w:val="24"/>
          <w:szCs w:val="24"/>
          <w:lang w:val="fr-CA"/>
        </w:rPr>
        <w:t xml:space="preserve"> </w:t>
      </w:r>
      <w:r w:rsidR="00311AE4" w:rsidRPr="00CB1763">
        <w:rPr>
          <w:rFonts w:cs="Arial"/>
          <w:sz w:val="24"/>
          <w:szCs w:val="24"/>
          <w:lang w:val="fr-CA"/>
        </w:rPr>
        <w:t>Il y a plusieurs mesures à prendre, tout compte fait, car des changements pourraient résulter</w:t>
      </w:r>
      <w:r w:rsidR="008D53E0" w:rsidRPr="00CB1763">
        <w:rPr>
          <w:rFonts w:cs="Arial"/>
          <w:sz w:val="24"/>
          <w:szCs w:val="24"/>
          <w:lang w:val="fr-CA"/>
        </w:rPr>
        <w:t xml:space="preserve"> </w:t>
      </w:r>
      <w:r w:rsidR="00311AE4" w:rsidRPr="00CB1763">
        <w:rPr>
          <w:rFonts w:cs="Arial"/>
          <w:sz w:val="24"/>
          <w:szCs w:val="24"/>
          <w:lang w:val="fr-CA"/>
        </w:rPr>
        <w:t>aussi bien d’une information ou déclaration trompeuse que d’une erreur attribuable au système</w:t>
      </w:r>
      <w:r w:rsidR="009073A7" w:rsidRPr="00CB1763">
        <w:rPr>
          <w:rFonts w:cs="Arial"/>
          <w:sz w:val="24"/>
          <w:szCs w:val="24"/>
          <w:lang w:val="fr-CA"/>
        </w:rPr>
        <w:t>.</w:t>
      </w:r>
      <w:r w:rsidR="008D53E0" w:rsidRPr="00CB1763">
        <w:rPr>
          <w:rFonts w:cs="Arial"/>
          <w:sz w:val="24"/>
          <w:szCs w:val="24"/>
          <w:lang w:val="fr-CA"/>
        </w:rPr>
        <w:t xml:space="preserve"> </w:t>
      </w:r>
      <w:r w:rsidR="00311AE4" w:rsidRPr="00CB1763">
        <w:rPr>
          <w:rFonts w:cs="Arial"/>
          <w:sz w:val="24"/>
          <w:szCs w:val="24"/>
          <w:lang w:val="fr-CA"/>
        </w:rPr>
        <w:t>Cette question devrait être analysée à fond</w:t>
      </w:r>
      <w:r w:rsidR="008D53E0" w:rsidRPr="00CB1763">
        <w:rPr>
          <w:rFonts w:cs="Arial"/>
          <w:sz w:val="24"/>
          <w:szCs w:val="24"/>
          <w:lang w:val="fr-CA"/>
        </w:rPr>
        <w:t>.</w:t>
      </w:r>
    </w:p>
    <w:p w:rsidR="006D6074" w:rsidRPr="00CB1763" w:rsidRDefault="006D6074" w:rsidP="007B0C90">
      <w:pPr>
        <w:autoSpaceDE w:val="0"/>
        <w:autoSpaceDN w:val="0"/>
        <w:adjustRightInd w:val="0"/>
        <w:spacing w:after="0" w:line="240" w:lineRule="auto"/>
        <w:rPr>
          <w:rFonts w:ascii="Arial" w:hAnsi="Arial" w:cs="Arial"/>
          <w:b/>
          <w:sz w:val="24"/>
          <w:szCs w:val="24"/>
          <w:lang w:val="fr-CA"/>
        </w:rPr>
      </w:pPr>
    </w:p>
    <w:p w:rsidR="00E1333A" w:rsidRPr="00CB1763" w:rsidRDefault="00E11A46" w:rsidP="006D6074">
      <w:pPr>
        <w:pStyle w:val="Heading2"/>
        <w:numPr>
          <w:ilvl w:val="0"/>
          <w:numId w:val="11"/>
        </w:numPr>
        <w:rPr>
          <w:lang w:val="fr-CA"/>
        </w:rPr>
      </w:pPr>
      <w:bookmarkStart w:id="6" w:name="_Toc368318338"/>
      <w:r w:rsidRPr="00CB1763">
        <w:rPr>
          <w:lang w:val="fr-CA"/>
        </w:rPr>
        <w:t>Protêts et appels (</w:t>
      </w:r>
      <w:r w:rsidR="00AF1744" w:rsidRPr="00CB1763">
        <w:rPr>
          <w:lang w:val="fr-CA"/>
        </w:rPr>
        <w:t>Section 8</w:t>
      </w:r>
      <w:r w:rsidRPr="00CB1763">
        <w:rPr>
          <w:lang w:val="fr-CA"/>
        </w:rPr>
        <w:t xml:space="preserve"> du Code</w:t>
      </w:r>
      <w:r w:rsidR="00AF1744" w:rsidRPr="00CB1763">
        <w:rPr>
          <w:lang w:val="fr-CA"/>
        </w:rPr>
        <w:t>)</w:t>
      </w:r>
      <w:bookmarkEnd w:id="6"/>
    </w:p>
    <w:p w:rsidR="00041117" w:rsidRPr="00CB1763" w:rsidRDefault="00041117" w:rsidP="007B0C90">
      <w:pPr>
        <w:autoSpaceDE w:val="0"/>
        <w:autoSpaceDN w:val="0"/>
        <w:adjustRightInd w:val="0"/>
        <w:spacing w:after="0" w:line="240" w:lineRule="auto"/>
        <w:rPr>
          <w:rFonts w:ascii="Arial" w:hAnsi="Arial" w:cs="Arial"/>
          <w:sz w:val="24"/>
          <w:szCs w:val="24"/>
          <w:lang w:val="fr-CA"/>
        </w:rPr>
      </w:pPr>
    </w:p>
    <w:p w:rsidR="007B0C90" w:rsidRPr="00CB1763" w:rsidRDefault="000800C4" w:rsidP="006D6074">
      <w:pPr>
        <w:pStyle w:val="ListParagraph"/>
        <w:numPr>
          <w:ilvl w:val="0"/>
          <w:numId w:val="8"/>
        </w:numPr>
        <w:autoSpaceDE w:val="0"/>
        <w:autoSpaceDN w:val="0"/>
        <w:adjustRightInd w:val="0"/>
        <w:rPr>
          <w:rFonts w:cs="Arial"/>
          <w:sz w:val="24"/>
          <w:szCs w:val="24"/>
          <w:lang w:val="fr-CA"/>
        </w:rPr>
      </w:pPr>
      <w:r w:rsidRPr="00CB1763">
        <w:rPr>
          <w:rFonts w:cs="Arial"/>
          <w:sz w:val="24"/>
          <w:szCs w:val="24"/>
          <w:lang w:val="fr-CA"/>
        </w:rPr>
        <w:t>L’ACSA</w:t>
      </w:r>
      <w:r w:rsidR="00041117" w:rsidRPr="00CB1763">
        <w:rPr>
          <w:rFonts w:cs="Arial"/>
          <w:sz w:val="24"/>
          <w:szCs w:val="24"/>
          <w:lang w:val="fr-CA"/>
        </w:rPr>
        <w:t xml:space="preserve"> </w:t>
      </w:r>
      <w:r w:rsidR="00311AE4" w:rsidRPr="00CB1763">
        <w:rPr>
          <w:rFonts w:cs="Arial"/>
          <w:sz w:val="24"/>
          <w:szCs w:val="24"/>
          <w:lang w:val="fr-CA"/>
        </w:rPr>
        <w:t>est d’avis qu’une disposition additionnelle devrait être ajoutée à la présente</w:t>
      </w:r>
      <w:r w:rsidR="00041117" w:rsidRPr="00CB1763">
        <w:rPr>
          <w:rFonts w:cs="Arial"/>
          <w:sz w:val="24"/>
          <w:szCs w:val="24"/>
          <w:lang w:val="fr-CA"/>
        </w:rPr>
        <w:t xml:space="preserve"> section </w:t>
      </w:r>
      <w:r w:rsidR="00311AE4" w:rsidRPr="00CB1763">
        <w:rPr>
          <w:rFonts w:cs="Arial"/>
          <w:sz w:val="24"/>
          <w:szCs w:val="24"/>
          <w:lang w:val="fr-CA"/>
        </w:rPr>
        <w:t>du</w:t>
      </w:r>
      <w:r w:rsidR="0024063B" w:rsidRPr="00CB1763">
        <w:rPr>
          <w:rFonts w:cs="Arial"/>
          <w:sz w:val="24"/>
          <w:szCs w:val="24"/>
          <w:lang w:val="fr-CA"/>
        </w:rPr>
        <w:t xml:space="preserve"> Code</w:t>
      </w:r>
      <w:r w:rsidR="00311AE4" w:rsidRPr="00CB1763">
        <w:rPr>
          <w:rFonts w:cs="Arial"/>
          <w:sz w:val="24"/>
          <w:szCs w:val="24"/>
          <w:lang w:val="fr-CA"/>
        </w:rPr>
        <w:t>, stipulant qu’une partie doit d’abord utiliser tous les protêts auxquels elle a droit avant d’</w:t>
      </w:r>
      <w:r w:rsidR="00181709" w:rsidRPr="00CB1763">
        <w:rPr>
          <w:rFonts w:cs="Arial"/>
          <w:sz w:val="24"/>
          <w:szCs w:val="24"/>
          <w:lang w:val="fr-CA"/>
        </w:rPr>
        <w:t xml:space="preserve">interjeter </w:t>
      </w:r>
      <w:r w:rsidR="00311AE4" w:rsidRPr="00CB1763">
        <w:rPr>
          <w:rFonts w:cs="Arial"/>
          <w:sz w:val="24"/>
          <w:szCs w:val="24"/>
          <w:lang w:val="fr-CA"/>
        </w:rPr>
        <w:t xml:space="preserve">appel. </w:t>
      </w:r>
      <w:r w:rsidR="00181709" w:rsidRPr="00CB1763">
        <w:rPr>
          <w:rFonts w:cs="Arial"/>
          <w:sz w:val="24"/>
          <w:szCs w:val="24"/>
          <w:lang w:val="fr-CA"/>
        </w:rPr>
        <w:t xml:space="preserve">À défaut de se conformer à cette nouvelle disposition, l’appel serait rejeté. Cela permettrait d’éviter qu’une partie entreprenne </w:t>
      </w:r>
      <w:r w:rsidR="006E342A" w:rsidRPr="00CB1763">
        <w:rPr>
          <w:rFonts w:cs="Arial"/>
          <w:sz w:val="24"/>
          <w:szCs w:val="24"/>
          <w:lang w:val="fr-CA"/>
        </w:rPr>
        <w:t>une série de</w:t>
      </w:r>
      <w:r w:rsidR="00181709" w:rsidRPr="00CB1763">
        <w:rPr>
          <w:rFonts w:cs="Arial"/>
          <w:sz w:val="24"/>
          <w:szCs w:val="24"/>
          <w:lang w:val="fr-CA"/>
        </w:rPr>
        <w:t xml:space="preserve"> procédures</w:t>
      </w:r>
      <w:r w:rsidR="00041117" w:rsidRPr="00CB1763">
        <w:rPr>
          <w:rFonts w:cs="Arial"/>
          <w:sz w:val="24"/>
          <w:szCs w:val="24"/>
          <w:lang w:val="fr-CA"/>
        </w:rPr>
        <w:t xml:space="preserve"> </w:t>
      </w:r>
      <w:r w:rsidR="006E342A" w:rsidRPr="00CB1763">
        <w:rPr>
          <w:rFonts w:cs="Arial"/>
          <w:sz w:val="24"/>
          <w:szCs w:val="24"/>
          <w:lang w:val="fr-CA"/>
        </w:rPr>
        <w:t>représentant un fardeau injustifié pour le système de classification</w:t>
      </w:r>
      <w:r w:rsidR="00041117" w:rsidRPr="00CB1763">
        <w:rPr>
          <w:rFonts w:cs="Arial"/>
          <w:sz w:val="24"/>
          <w:szCs w:val="24"/>
          <w:lang w:val="fr-CA"/>
        </w:rPr>
        <w:t xml:space="preserve"> </w:t>
      </w:r>
      <w:r w:rsidR="006E342A" w:rsidRPr="00CB1763">
        <w:rPr>
          <w:rFonts w:cs="Arial"/>
          <w:sz w:val="24"/>
          <w:szCs w:val="24"/>
          <w:lang w:val="fr-CA"/>
        </w:rPr>
        <w:t>durant une compétition.</w:t>
      </w:r>
      <w:r w:rsidR="00041117" w:rsidRPr="00CB1763">
        <w:rPr>
          <w:rFonts w:cs="Arial"/>
          <w:sz w:val="24"/>
          <w:szCs w:val="24"/>
          <w:lang w:val="fr-CA"/>
        </w:rPr>
        <w:t xml:space="preserve"> </w:t>
      </w:r>
      <w:r w:rsidR="00181709" w:rsidRPr="00CB1763">
        <w:rPr>
          <w:rFonts w:cs="Arial"/>
          <w:sz w:val="24"/>
          <w:szCs w:val="24"/>
          <w:lang w:val="fr-CA"/>
        </w:rPr>
        <w:t>Dans le même ordre d’idées</w:t>
      </w:r>
      <w:r w:rsidR="00041117" w:rsidRPr="00CB1763">
        <w:rPr>
          <w:rFonts w:cs="Arial"/>
          <w:sz w:val="24"/>
          <w:szCs w:val="24"/>
          <w:lang w:val="fr-CA"/>
        </w:rPr>
        <w:t xml:space="preserve">, </w:t>
      </w:r>
      <w:r w:rsidR="00FC1B30" w:rsidRPr="00CB1763">
        <w:rPr>
          <w:rFonts w:cs="Arial"/>
          <w:sz w:val="24"/>
          <w:szCs w:val="24"/>
          <w:lang w:val="fr-CA"/>
        </w:rPr>
        <w:t>le délai prescrit pour</w:t>
      </w:r>
      <w:r w:rsidR="00041117" w:rsidRPr="00CB1763">
        <w:rPr>
          <w:rFonts w:cs="Arial"/>
          <w:sz w:val="24"/>
          <w:szCs w:val="24"/>
          <w:lang w:val="fr-CA"/>
        </w:rPr>
        <w:t xml:space="preserve"> </w:t>
      </w:r>
      <w:r w:rsidR="00FC1B30" w:rsidRPr="00CB1763">
        <w:rPr>
          <w:rFonts w:cs="Arial"/>
          <w:sz w:val="24"/>
          <w:szCs w:val="24"/>
          <w:lang w:val="fr-CA"/>
        </w:rPr>
        <w:t>interjeter appel devrait être momentanément suspendu en attendant la décision</w:t>
      </w:r>
      <w:r w:rsidR="00714A77" w:rsidRPr="00CB1763">
        <w:rPr>
          <w:rFonts w:cs="Arial"/>
          <w:sz w:val="24"/>
          <w:szCs w:val="24"/>
          <w:lang w:val="fr-CA"/>
        </w:rPr>
        <w:t xml:space="preserve"> relative au protêt</w:t>
      </w:r>
      <w:r w:rsidR="006E342A" w:rsidRPr="00CB1763">
        <w:rPr>
          <w:rFonts w:cs="Arial"/>
          <w:sz w:val="24"/>
          <w:szCs w:val="24"/>
          <w:lang w:val="fr-CA"/>
        </w:rPr>
        <w:t xml:space="preserve">. </w:t>
      </w:r>
      <w:r w:rsidR="00714A77" w:rsidRPr="00CB1763">
        <w:rPr>
          <w:rFonts w:cs="Arial"/>
          <w:sz w:val="24"/>
          <w:szCs w:val="24"/>
          <w:lang w:val="fr-CA"/>
        </w:rPr>
        <w:t xml:space="preserve">Ces dispositions devraient faire partie du </w:t>
      </w:r>
      <w:r w:rsidR="007E4820" w:rsidRPr="00CB1763">
        <w:rPr>
          <w:rFonts w:cs="Arial"/>
          <w:sz w:val="24"/>
          <w:szCs w:val="24"/>
          <w:lang w:val="fr-CA"/>
        </w:rPr>
        <w:t>Code</w:t>
      </w:r>
      <w:r w:rsidR="0024063B" w:rsidRPr="00CB1763">
        <w:rPr>
          <w:rFonts w:cs="Arial"/>
          <w:sz w:val="24"/>
          <w:szCs w:val="24"/>
          <w:lang w:val="fr-CA"/>
        </w:rPr>
        <w:t xml:space="preserve">, </w:t>
      </w:r>
      <w:r w:rsidR="00714A77" w:rsidRPr="00CB1763">
        <w:rPr>
          <w:rFonts w:cs="Arial"/>
          <w:sz w:val="24"/>
          <w:szCs w:val="24"/>
          <w:lang w:val="fr-CA"/>
        </w:rPr>
        <w:t xml:space="preserve">ou </w:t>
      </w:r>
      <w:r w:rsidR="00085EC3" w:rsidRPr="00CB1763">
        <w:rPr>
          <w:rFonts w:cs="Arial"/>
          <w:sz w:val="24"/>
          <w:szCs w:val="24"/>
          <w:lang w:val="fr-CA"/>
        </w:rPr>
        <w:t>être ajoutées aux</w:t>
      </w:r>
      <w:r w:rsidR="006E342A" w:rsidRPr="00CB1763">
        <w:rPr>
          <w:rFonts w:cs="Arial"/>
          <w:sz w:val="24"/>
          <w:szCs w:val="24"/>
          <w:lang w:val="fr-CA"/>
        </w:rPr>
        <w:t xml:space="preserve"> Normes internationales </w:t>
      </w:r>
      <w:r w:rsidR="0040739C" w:rsidRPr="00CB1763">
        <w:rPr>
          <w:rFonts w:cs="Arial"/>
          <w:sz w:val="24"/>
          <w:szCs w:val="24"/>
          <w:lang w:val="fr-CA"/>
        </w:rPr>
        <w:t>: p</w:t>
      </w:r>
      <w:r w:rsidR="006E342A" w:rsidRPr="00CB1763">
        <w:rPr>
          <w:rFonts w:cs="Arial"/>
          <w:sz w:val="24"/>
          <w:szCs w:val="24"/>
          <w:lang w:val="fr-CA"/>
        </w:rPr>
        <w:t>rotêts et</w:t>
      </w:r>
      <w:r w:rsidR="0024063B" w:rsidRPr="00CB1763">
        <w:rPr>
          <w:rFonts w:cs="Arial"/>
          <w:sz w:val="24"/>
          <w:szCs w:val="24"/>
          <w:lang w:val="fr-CA"/>
        </w:rPr>
        <w:t xml:space="preserve"> </w:t>
      </w:r>
      <w:r w:rsidR="0040739C" w:rsidRPr="00CB1763">
        <w:rPr>
          <w:rFonts w:cs="Arial"/>
          <w:sz w:val="24"/>
          <w:szCs w:val="24"/>
          <w:lang w:val="fr-CA"/>
        </w:rPr>
        <w:t>a</w:t>
      </w:r>
      <w:r w:rsidR="006E342A" w:rsidRPr="00CB1763">
        <w:rPr>
          <w:rFonts w:cs="Arial"/>
          <w:sz w:val="24"/>
          <w:szCs w:val="24"/>
          <w:lang w:val="fr-CA"/>
        </w:rPr>
        <w:t>ppels</w:t>
      </w:r>
      <w:r w:rsidR="00085EC3" w:rsidRPr="00CB1763">
        <w:rPr>
          <w:rFonts w:cs="Arial"/>
          <w:sz w:val="24"/>
          <w:szCs w:val="24"/>
          <w:lang w:val="fr-CA"/>
        </w:rPr>
        <w:t>,</w:t>
      </w:r>
      <w:r w:rsidR="006E342A" w:rsidRPr="00CB1763">
        <w:rPr>
          <w:rFonts w:cs="Arial"/>
          <w:sz w:val="24"/>
          <w:szCs w:val="24"/>
          <w:lang w:val="fr-CA"/>
        </w:rPr>
        <w:t xml:space="preserve"> ou</w:t>
      </w:r>
      <w:r w:rsidR="006A27E1" w:rsidRPr="00CB1763">
        <w:rPr>
          <w:rFonts w:cs="Arial"/>
          <w:sz w:val="24"/>
          <w:szCs w:val="24"/>
          <w:lang w:val="fr-CA"/>
        </w:rPr>
        <w:t xml:space="preserve"> à la Commission d’appel sur les règles de classification</w:t>
      </w:r>
      <w:r w:rsidR="007E4820" w:rsidRPr="00CB1763">
        <w:rPr>
          <w:rFonts w:cs="Arial"/>
          <w:sz w:val="24"/>
          <w:szCs w:val="24"/>
          <w:lang w:val="fr-CA"/>
        </w:rPr>
        <w:t xml:space="preserve"> </w:t>
      </w:r>
      <w:r w:rsidR="006A27E1" w:rsidRPr="00CB1763">
        <w:rPr>
          <w:rFonts w:cs="Arial"/>
          <w:sz w:val="24"/>
          <w:szCs w:val="24"/>
          <w:lang w:val="fr-CA"/>
        </w:rPr>
        <w:t>– Guide de l’IPC</w:t>
      </w:r>
      <w:r w:rsidR="007E4820" w:rsidRPr="00CB1763">
        <w:rPr>
          <w:rFonts w:cs="Arial"/>
          <w:sz w:val="24"/>
          <w:szCs w:val="24"/>
          <w:lang w:val="fr-CA"/>
        </w:rPr>
        <w:t xml:space="preserve">. </w:t>
      </w:r>
      <w:r w:rsidR="00D61A1A" w:rsidRPr="00CB1763">
        <w:rPr>
          <w:rFonts w:cs="Arial"/>
          <w:sz w:val="24"/>
          <w:szCs w:val="24"/>
          <w:lang w:val="fr-CA"/>
        </w:rPr>
        <w:t>Il doit en être ainsi pour éviter qu’un athlète ne puisse faire valoir son droit d’appel</w:t>
      </w:r>
      <w:r w:rsidR="00041117" w:rsidRPr="00CB1763">
        <w:rPr>
          <w:rFonts w:cs="Arial"/>
          <w:sz w:val="24"/>
          <w:szCs w:val="24"/>
          <w:lang w:val="fr-CA"/>
        </w:rPr>
        <w:t xml:space="preserve">. </w:t>
      </w:r>
      <w:r w:rsidR="00CD507C" w:rsidRPr="00CB1763">
        <w:rPr>
          <w:rFonts w:cs="Arial"/>
          <w:sz w:val="24"/>
          <w:szCs w:val="24"/>
          <w:lang w:val="fr-CA"/>
        </w:rPr>
        <w:t xml:space="preserve">Il faudra procéder à des modifications </w:t>
      </w:r>
      <w:r w:rsidR="00280E6E" w:rsidRPr="00CB1763">
        <w:rPr>
          <w:rFonts w:cs="Arial"/>
          <w:sz w:val="24"/>
          <w:szCs w:val="24"/>
          <w:lang w:val="fr-CA"/>
        </w:rPr>
        <w:t>corrélatives</w:t>
      </w:r>
      <w:r w:rsidR="007E4820" w:rsidRPr="00CB1763">
        <w:rPr>
          <w:rFonts w:cs="Arial"/>
          <w:sz w:val="24"/>
          <w:szCs w:val="24"/>
          <w:lang w:val="fr-CA"/>
        </w:rPr>
        <w:t xml:space="preserve"> </w:t>
      </w:r>
      <w:r w:rsidR="00280E6E" w:rsidRPr="00CB1763">
        <w:rPr>
          <w:rFonts w:cs="Arial"/>
          <w:sz w:val="24"/>
          <w:szCs w:val="24"/>
          <w:lang w:val="fr-CA"/>
        </w:rPr>
        <w:t>à l’article</w:t>
      </w:r>
      <w:r w:rsidR="007E4820" w:rsidRPr="00CB1763">
        <w:rPr>
          <w:rFonts w:cs="Arial"/>
          <w:sz w:val="24"/>
          <w:szCs w:val="24"/>
          <w:lang w:val="fr-CA"/>
        </w:rPr>
        <w:t xml:space="preserve"> 11 </w:t>
      </w:r>
      <w:r w:rsidR="00280E6E" w:rsidRPr="00CB1763">
        <w:rPr>
          <w:rFonts w:cs="Arial"/>
          <w:sz w:val="24"/>
          <w:szCs w:val="24"/>
          <w:lang w:val="fr-CA"/>
        </w:rPr>
        <w:t>des Règles du BAC pour que la période prévue de</w:t>
      </w:r>
      <w:r w:rsidR="007E4820" w:rsidRPr="00CB1763">
        <w:rPr>
          <w:rFonts w:cs="Arial"/>
          <w:sz w:val="24"/>
          <w:szCs w:val="24"/>
          <w:lang w:val="fr-CA"/>
        </w:rPr>
        <w:t xml:space="preserve"> 24 </w:t>
      </w:r>
      <w:r w:rsidR="00280E6E" w:rsidRPr="00CB1763">
        <w:rPr>
          <w:rFonts w:cs="Arial"/>
          <w:sz w:val="24"/>
          <w:szCs w:val="24"/>
          <w:lang w:val="fr-CA"/>
        </w:rPr>
        <w:t>heures pour interjeter appel</w:t>
      </w:r>
      <w:r w:rsidR="00FC3F09" w:rsidRPr="00CB1763">
        <w:rPr>
          <w:rFonts w:cs="Arial"/>
          <w:sz w:val="24"/>
          <w:szCs w:val="24"/>
          <w:lang w:val="fr-CA"/>
        </w:rPr>
        <w:t>, justifié dans les circonstances,</w:t>
      </w:r>
      <w:r w:rsidR="00280E6E" w:rsidRPr="00CB1763">
        <w:rPr>
          <w:rFonts w:cs="Arial"/>
          <w:sz w:val="24"/>
          <w:szCs w:val="24"/>
          <w:lang w:val="fr-CA"/>
        </w:rPr>
        <w:t xml:space="preserve"> soit </w:t>
      </w:r>
      <w:r w:rsidR="00FC3F09" w:rsidRPr="00CB1763">
        <w:rPr>
          <w:rFonts w:cs="Arial"/>
          <w:sz w:val="24"/>
          <w:szCs w:val="24"/>
          <w:lang w:val="fr-CA"/>
        </w:rPr>
        <w:t>prolongée et pour prolonger également le délai d’appel de</w:t>
      </w:r>
      <w:r w:rsidR="007E4820" w:rsidRPr="00CB1763">
        <w:rPr>
          <w:rFonts w:cs="Arial"/>
          <w:sz w:val="24"/>
          <w:szCs w:val="24"/>
          <w:lang w:val="fr-CA"/>
        </w:rPr>
        <w:t xml:space="preserve"> 15 </w:t>
      </w:r>
      <w:r w:rsidR="00FC3F09" w:rsidRPr="00CB1763">
        <w:rPr>
          <w:rFonts w:cs="Arial"/>
          <w:sz w:val="24"/>
          <w:szCs w:val="24"/>
          <w:lang w:val="fr-CA"/>
        </w:rPr>
        <w:t>jours prévu dans ces Règles</w:t>
      </w:r>
      <w:r w:rsidR="007E4820" w:rsidRPr="00CB1763">
        <w:rPr>
          <w:rFonts w:cs="Arial"/>
          <w:sz w:val="24"/>
          <w:szCs w:val="24"/>
          <w:lang w:val="fr-CA"/>
        </w:rPr>
        <w:t xml:space="preserve">. </w:t>
      </w:r>
      <w:r w:rsidR="006E342A" w:rsidRPr="00CB1763">
        <w:rPr>
          <w:rFonts w:cs="Arial"/>
          <w:sz w:val="24"/>
          <w:szCs w:val="24"/>
          <w:lang w:val="fr-CA"/>
        </w:rPr>
        <w:t xml:space="preserve">Quoique l’ACSA </w:t>
      </w:r>
      <w:r w:rsidR="000D1C32" w:rsidRPr="00CB1763">
        <w:rPr>
          <w:rFonts w:cs="Arial"/>
          <w:sz w:val="24"/>
          <w:szCs w:val="24"/>
          <w:lang w:val="fr-CA"/>
        </w:rPr>
        <w:t>préfère</w:t>
      </w:r>
      <w:r w:rsidR="006E342A" w:rsidRPr="00CB1763">
        <w:rPr>
          <w:rFonts w:cs="Arial"/>
          <w:sz w:val="24"/>
          <w:szCs w:val="24"/>
          <w:lang w:val="fr-CA"/>
        </w:rPr>
        <w:t xml:space="preserve"> que ces exigences soient intégrées au</w:t>
      </w:r>
      <w:r w:rsidR="00191F5C" w:rsidRPr="00CB1763">
        <w:rPr>
          <w:rFonts w:cs="Arial"/>
          <w:sz w:val="24"/>
          <w:szCs w:val="24"/>
          <w:lang w:val="fr-CA"/>
        </w:rPr>
        <w:t xml:space="preserve"> Code </w:t>
      </w:r>
      <w:r w:rsidR="006E342A" w:rsidRPr="00CB1763">
        <w:rPr>
          <w:rFonts w:cs="Arial"/>
          <w:sz w:val="24"/>
          <w:szCs w:val="24"/>
          <w:lang w:val="fr-CA"/>
        </w:rPr>
        <w:t>en tant que tel</w:t>
      </w:r>
      <w:r w:rsidR="00191F5C" w:rsidRPr="00CB1763">
        <w:rPr>
          <w:rFonts w:cs="Arial"/>
          <w:sz w:val="24"/>
          <w:szCs w:val="24"/>
          <w:lang w:val="fr-CA"/>
        </w:rPr>
        <w:t xml:space="preserve"> </w:t>
      </w:r>
      <w:r w:rsidR="000D1C32" w:rsidRPr="00CB1763">
        <w:rPr>
          <w:rFonts w:cs="Arial"/>
          <w:sz w:val="24"/>
          <w:szCs w:val="24"/>
          <w:lang w:val="fr-CA"/>
        </w:rPr>
        <w:t>pour plus de transparence et une meilleure compréhension,</w:t>
      </w:r>
      <w:r w:rsidR="00191F5C" w:rsidRPr="00CB1763">
        <w:rPr>
          <w:rFonts w:cs="Arial"/>
          <w:sz w:val="24"/>
          <w:szCs w:val="24"/>
          <w:lang w:val="fr-CA"/>
        </w:rPr>
        <w:t xml:space="preserve"> </w:t>
      </w:r>
      <w:r w:rsidR="000D1C32" w:rsidRPr="00CB1763">
        <w:rPr>
          <w:rFonts w:cs="Arial"/>
          <w:sz w:val="24"/>
          <w:szCs w:val="24"/>
          <w:lang w:val="fr-CA"/>
        </w:rPr>
        <w:t>elle ne s’oppose pas à ce que les membres du Comité les</w:t>
      </w:r>
      <w:r w:rsidR="00191F5C" w:rsidRPr="00CB1763">
        <w:rPr>
          <w:rFonts w:cs="Arial"/>
          <w:sz w:val="24"/>
          <w:szCs w:val="24"/>
          <w:lang w:val="fr-CA"/>
        </w:rPr>
        <w:t xml:space="preserve"> </w:t>
      </w:r>
      <w:r w:rsidR="000D1C32" w:rsidRPr="00CB1763">
        <w:rPr>
          <w:rFonts w:cs="Arial"/>
          <w:sz w:val="24"/>
          <w:szCs w:val="24"/>
          <w:lang w:val="fr-CA"/>
        </w:rPr>
        <w:t>ajoutent à la Norme sur les</w:t>
      </w:r>
      <w:r w:rsidR="00191F5C" w:rsidRPr="00CB1763">
        <w:rPr>
          <w:rFonts w:cs="Arial"/>
          <w:sz w:val="24"/>
          <w:szCs w:val="24"/>
          <w:lang w:val="fr-CA"/>
        </w:rPr>
        <w:t xml:space="preserve"> </w:t>
      </w:r>
      <w:r w:rsidR="000D1C32" w:rsidRPr="00CB1763">
        <w:rPr>
          <w:rFonts w:cs="Arial"/>
          <w:sz w:val="24"/>
          <w:szCs w:val="24"/>
          <w:lang w:val="fr-CA"/>
        </w:rPr>
        <w:t>protêts et les appels</w:t>
      </w:r>
      <w:r w:rsidR="00191F5C" w:rsidRPr="00CB1763">
        <w:rPr>
          <w:rFonts w:cs="Arial"/>
          <w:sz w:val="24"/>
          <w:szCs w:val="24"/>
          <w:lang w:val="fr-CA"/>
        </w:rPr>
        <w:t>.</w:t>
      </w:r>
      <w:r w:rsidR="000D1C32" w:rsidRPr="00CB1763">
        <w:rPr>
          <w:rFonts w:cs="Arial"/>
          <w:sz w:val="24"/>
          <w:szCs w:val="24"/>
          <w:lang w:val="fr-CA"/>
        </w:rPr>
        <w:t xml:space="preserve"> </w:t>
      </w:r>
      <w:r w:rsidR="00F3245D" w:rsidRPr="00CB1763">
        <w:rPr>
          <w:rFonts w:cs="Arial"/>
          <w:sz w:val="24"/>
          <w:szCs w:val="24"/>
          <w:lang w:val="fr-CA"/>
        </w:rPr>
        <w:t>Toutefois, étant donné que ces droits sont importants,</w:t>
      </w:r>
      <w:r w:rsidR="001B76AB" w:rsidRPr="00CB1763">
        <w:rPr>
          <w:rFonts w:cs="Arial"/>
          <w:sz w:val="24"/>
          <w:szCs w:val="24"/>
          <w:lang w:val="fr-CA"/>
        </w:rPr>
        <w:t xml:space="preserve"> </w:t>
      </w:r>
      <w:r w:rsidR="00F3245D" w:rsidRPr="00CB1763">
        <w:rPr>
          <w:rFonts w:cs="Arial"/>
          <w:sz w:val="24"/>
          <w:szCs w:val="24"/>
          <w:lang w:val="fr-CA"/>
        </w:rPr>
        <w:t xml:space="preserve">ce n’est pas une mauvaise chose qu’on </w:t>
      </w:r>
      <w:r w:rsidR="00954901" w:rsidRPr="00CB1763">
        <w:rPr>
          <w:rFonts w:cs="Arial"/>
          <w:sz w:val="24"/>
          <w:szCs w:val="24"/>
          <w:lang w:val="fr-CA"/>
        </w:rPr>
        <w:t>en fasse état concrètement dans de multiples sources.</w:t>
      </w:r>
    </w:p>
    <w:p w:rsidR="007E4820" w:rsidRPr="00CB1763" w:rsidRDefault="007E4820" w:rsidP="007B0C90">
      <w:pPr>
        <w:autoSpaceDE w:val="0"/>
        <w:autoSpaceDN w:val="0"/>
        <w:adjustRightInd w:val="0"/>
        <w:spacing w:after="0" w:line="240" w:lineRule="auto"/>
        <w:rPr>
          <w:rFonts w:ascii="Arial" w:hAnsi="Arial" w:cs="Arial"/>
          <w:sz w:val="24"/>
          <w:szCs w:val="24"/>
          <w:lang w:val="fr-CA"/>
        </w:rPr>
      </w:pPr>
    </w:p>
    <w:p w:rsidR="00E370D2" w:rsidRPr="00CB1763" w:rsidRDefault="000800C4" w:rsidP="006D6074">
      <w:pPr>
        <w:pStyle w:val="ListParagraph"/>
        <w:numPr>
          <w:ilvl w:val="0"/>
          <w:numId w:val="8"/>
        </w:numPr>
        <w:autoSpaceDE w:val="0"/>
        <w:autoSpaceDN w:val="0"/>
        <w:adjustRightInd w:val="0"/>
        <w:rPr>
          <w:rFonts w:cs="Arial"/>
          <w:sz w:val="24"/>
          <w:szCs w:val="24"/>
          <w:lang w:val="fr-CA"/>
        </w:rPr>
      </w:pPr>
      <w:r w:rsidRPr="00CB1763">
        <w:rPr>
          <w:rFonts w:cs="Arial"/>
          <w:sz w:val="24"/>
          <w:szCs w:val="24"/>
          <w:lang w:val="fr-CA"/>
        </w:rPr>
        <w:t>L’ACSA s’interroge sur le fait que seules les</w:t>
      </w:r>
      <w:r w:rsidR="00E370D2" w:rsidRPr="00CB1763">
        <w:rPr>
          <w:rFonts w:cs="Arial"/>
          <w:sz w:val="24"/>
          <w:szCs w:val="24"/>
          <w:lang w:val="fr-CA"/>
        </w:rPr>
        <w:t xml:space="preserve"> parties </w:t>
      </w:r>
      <w:r w:rsidRPr="00CB1763">
        <w:rPr>
          <w:rFonts w:cs="Arial"/>
          <w:sz w:val="24"/>
          <w:szCs w:val="24"/>
          <w:lang w:val="fr-CA"/>
        </w:rPr>
        <w:t>en cause sont informées des résultats</w:t>
      </w:r>
      <w:r w:rsidR="00E370D2" w:rsidRPr="00CB1763">
        <w:rPr>
          <w:rFonts w:cs="Arial"/>
          <w:sz w:val="24"/>
          <w:szCs w:val="24"/>
          <w:lang w:val="fr-CA"/>
        </w:rPr>
        <w:t xml:space="preserve"> </w:t>
      </w:r>
      <w:r w:rsidRPr="00CB1763">
        <w:rPr>
          <w:rFonts w:cs="Arial"/>
          <w:sz w:val="24"/>
          <w:szCs w:val="24"/>
          <w:lang w:val="fr-CA"/>
        </w:rPr>
        <w:t>d’un protêt ou d’un appel,</w:t>
      </w:r>
      <w:r w:rsidR="00E370D2" w:rsidRPr="00CB1763">
        <w:rPr>
          <w:rFonts w:cs="Arial"/>
          <w:sz w:val="24"/>
          <w:szCs w:val="24"/>
          <w:lang w:val="fr-CA"/>
        </w:rPr>
        <w:t xml:space="preserve"> </w:t>
      </w:r>
      <w:r w:rsidR="00FC3F09" w:rsidRPr="00CB1763">
        <w:rPr>
          <w:rFonts w:cs="Arial"/>
          <w:sz w:val="24"/>
          <w:szCs w:val="24"/>
          <w:lang w:val="fr-CA"/>
        </w:rPr>
        <w:t>tel qu’il est indiqué au paragraphe</w:t>
      </w:r>
      <w:r w:rsidR="00E370D2" w:rsidRPr="00CB1763">
        <w:rPr>
          <w:rFonts w:cs="Arial"/>
          <w:sz w:val="24"/>
          <w:szCs w:val="24"/>
          <w:lang w:val="fr-CA"/>
        </w:rPr>
        <w:t xml:space="preserve"> 8.3.1 </w:t>
      </w:r>
      <w:r w:rsidR="00FC3F09" w:rsidRPr="00CB1763">
        <w:rPr>
          <w:rFonts w:cs="Arial"/>
          <w:sz w:val="24"/>
          <w:szCs w:val="24"/>
          <w:lang w:val="fr-CA"/>
        </w:rPr>
        <w:t>du Code.</w:t>
      </w:r>
      <w:r w:rsidR="00E370D2" w:rsidRPr="00CB1763">
        <w:rPr>
          <w:rFonts w:cs="Arial"/>
          <w:sz w:val="24"/>
          <w:szCs w:val="24"/>
          <w:lang w:val="fr-CA"/>
        </w:rPr>
        <w:t xml:space="preserve"> </w:t>
      </w:r>
      <w:r w:rsidR="00FC3F09" w:rsidRPr="00CB1763">
        <w:rPr>
          <w:rFonts w:cs="Arial"/>
          <w:sz w:val="24"/>
          <w:szCs w:val="24"/>
          <w:lang w:val="fr-CA"/>
        </w:rPr>
        <w:t>Et pourtant l’ensemble du système sportif pourrait tirer profit du fait que les résultats d’un protêt ou d’un appel soient rendus publics</w:t>
      </w:r>
      <w:r w:rsidRPr="00CB1763">
        <w:rPr>
          <w:rFonts w:cs="Arial"/>
          <w:sz w:val="24"/>
          <w:szCs w:val="24"/>
          <w:lang w:val="fr-CA"/>
        </w:rPr>
        <w:t xml:space="preserve">. </w:t>
      </w:r>
      <w:r w:rsidR="009C3E89" w:rsidRPr="00CB1763">
        <w:rPr>
          <w:rFonts w:cs="Arial"/>
          <w:sz w:val="24"/>
          <w:szCs w:val="24"/>
          <w:lang w:val="fr-CA"/>
        </w:rPr>
        <w:t xml:space="preserve">En effet, en partageant ces résultats on pourrait éviter à l’avenir </w:t>
      </w:r>
      <w:r w:rsidR="007B1DAB" w:rsidRPr="00CB1763">
        <w:rPr>
          <w:rFonts w:cs="Arial"/>
          <w:sz w:val="24"/>
          <w:szCs w:val="24"/>
          <w:lang w:val="fr-CA"/>
        </w:rPr>
        <w:t>que d’autres protêts ou appels soient interjetés pour les mêmes motifs et/ou venir en aide aux jurys chargés de se pencher sur des questions ou des problèmes similaires.</w:t>
      </w:r>
      <w:r w:rsidR="00E370D2" w:rsidRPr="00CB1763">
        <w:rPr>
          <w:rFonts w:cs="Arial"/>
          <w:sz w:val="24"/>
          <w:szCs w:val="24"/>
          <w:lang w:val="fr-CA"/>
        </w:rPr>
        <w:t xml:space="preserve"> </w:t>
      </w:r>
      <w:r w:rsidR="007B1DAB" w:rsidRPr="00CB1763">
        <w:rPr>
          <w:rFonts w:cs="Arial"/>
          <w:sz w:val="24"/>
          <w:szCs w:val="24"/>
          <w:lang w:val="fr-CA"/>
        </w:rPr>
        <w:t>Afin de protéger la vie privée des athlètes,</w:t>
      </w:r>
      <w:r w:rsidR="00E370D2" w:rsidRPr="00CB1763">
        <w:rPr>
          <w:rFonts w:cs="Arial"/>
          <w:sz w:val="24"/>
          <w:szCs w:val="24"/>
          <w:lang w:val="fr-CA"/>
        </w:rPr>
        <w:t xml:space="preserve"> </w:t>
      </w:r>
      <w:r w:rsidR="007B1DAB" w:rsidRPr="00CB1763">
        <w:rPr>
          <w:rFonts w:cs="Arial"/>
          <w:sz w:val="24"/>
          <w:szCs w:val="24"/>
          <w:lang w:val="fr-CA"/>
        </w:rPr>
        <w:t>les décisions rendues à la suite d’un protêt ou d’un appel pourraient être identifiées à l’aide d’un numéro,</w:t>
      </w:r>
      <w:r w:rsidR="00E370D2" w:rsidRPr="00CB1763">
        <w:rPr>
          <w:rFonts w:cs="Arial"/>
          <w:sz w:val="24"/>
          <w:szCs w:val="24"/>
          <w:lang w:val="fr-CA"/>
        </w:rPr>
        <w:t xml:space="preserve"> </w:t>
      </w:r>
      <w:r w:rsidR="007B1DAB" w:rsidRPr="00CB1763">
        <w:rPr>
          <w:rFonts w:cs="Arial"/>
          <w:sz w:val="24"/>
          <w:szCs w:val="24"/>
          <w:lang w:val="fr-CA"/>
        </w:rPr>
        <w:t>p. ex.,</w:t>
      </w:r>
      <w:r w:rsidR="00E370D2" w:rsidRPr="00CB1763">
        <w:rPr>
          <w:rFonts w:cs="Arial"/>
          <w:sz w:val="24"/>
          <w:szCs w:val="24"/>
          <w:lang w:val="fr-CA"/>
        </w:rPr>
        <w:t xml:space="preserve"> 2013/01</w:t>
      </w:r>
      <w:r w:rsidR="007B1DAB" w:rsidRPr="00CB1763">
        <w:rPr>
          <w:rFonts w:cs="Arial"/>
          <w:sz w:val="24"/>
          <w:szCs w:val="24"/>
          <w:lang w:val="fr-CA"/>
        </w:rPr>
        <w:t>, et ainsi de suite; le nom des athlètes impliqués serait tout simplement retiré avant que la décision soit rendue publique</w:t>
      </w:r>
      <w:r w:rsidR="00BC4E65" w:rsidRPr="00CB1763">
        <w:rPr>
          <w:rFonts w:cs="Arial"/>
          <w:sz w:val="24"/>
          <w:szCs w:val="24"/>
          <w:lang w:val="fr-CA"/>
        </w:rPr>
        <w:t>.</w:t>
      </w:r>
      <w:r w:rsidR="00E370D2" w:rsidRPr="00CB1763">
        <w:rPr>
          <w:rFonts w:cs="Arial"/>
          <w:sz w:val="24"/>
          <w:szCs w:val="24"/>
          <w:lang w:val="fr-CA"/>
        </w:rPr>
        <w:t xml:space="preserve"> </w:t>
      </w:r>
      <w:r w:rsidR="00BC4E65" w:rsidRPr="00CB1763">
        <w:rPr>
          <w:rFonts w:cs="Arial"/>
          <w:sz w:val="24"/>
          <w:szCs w:val="24"/>
          <w:lang w:val="fr-CA"/>
        </w:rPr>
        <w:t>Par contre, les parties en cause doivent avoir accès à une version non censurée de la décision.</w:t>
      </w:r>
    </w:p>
    <w:p w:rsidR="002046E5" w:rsidRPr="00CB1763" w:rsidRDefault="002046E5" w:rsidP="007B0C90">
      <w:pPr>
        <w:autoSpaceDE w:val="0"/>
        <w:autoSpaceDN w:val="0"/>
        <w:adjustRightInd w:val="0"/>
        <w:spacing w:after="0" w:line="240" w:lineRule="auto"/>
        <w:rPr>
          <w:rFonts w:ascii="Arial" w:hAnsi="Arial" w:cs="Arial"/>
          <w:sz w:val="24"/>
          <w:szCs w:val="24"/>
          <w:lang w:val="fr-CA"/>
        </w:rPr>
      </w:pPr>
    </w:p>
    <w:p w:rsidR="002046E5" w:rsidRPr="00CB1763" w:rsidRDefault="00DB7442" w:rsidP="006D6074">
      <w:pPr>
        <w:pStyle w:val="ListParagraph"/>
        <w:numPr>
          <w:ilvl w:val="0"/>
          <w:numId w:val="8"/>
        </w:numPr>
        <w:autoSpaceDE w:val="0"/>
        <w:autoSpaceDN w:val="0"/>
        <w:adjustRightInd w:val="0"/>
        <w:ind w:hanging="720"/>
        <w:rPr>
          <w:rFonts w:cs="Arial"/>
          <w:sz w:val="24"/>
          <w:szCs w:val="24"/>
          <w:lang w:val="fr-CA"/>
        </w:rPr>
      </w:pPr>
      <w:r w:rsidRPr="00CB1763">
        <w:rPr>
          <w:rFonts w:cs="Arial"/>
          <w:sz w:val="24"/>
          <w:szCs w:val="24"/>
          <w:lang w:val="fr-CA"/>
        </w:rPr>
        <w:t xml:space="preserve">Certaines personnes </w:t>
      </w:r>
      <w:r w:rsidR="00147EE9" w:rsidRPr="00CB1763">
        <w:rPr>
          <w:rFonts w:cs="Arial"/>
          <w:sz w:val="24"/>
          <w:szCs w:val="24"/>
          <w:lang w:val="fr-CA"/>
        </w:rPr>
        <w:t>peuvent prétendre qu’en raison du nombre peu élevé d’athlètes paralympiques dans ce sport, le fait de retirer le nom des athlètes du texte d’une décision ne suffit pas à les protéger adéquatement.</w:t>
      </w:r>
      <w:r w:rsidRPr="00CB1763">
        <w:rPr>
          <w:rFonts w:cs="Arial"/>
          <w:sz w:val="24"/>
          <w:szCs w:val="24"/>
          <w:lang w:val="fr-CA"/>
        </w:rPr>
        <w:t xml:space="preserve"> </w:t>
      </w:r>
      <w:r w:rsidR="00147EE9" w:rsidRPr="00CB1763">
        <w:rPr>
          <w:rFonts w:cs="Arial"/>
          <w:sz w:val="24"/>
          <w:szCs w:val="24"/>
          <w:lang w:val="fr-CA"/>
        </w:rPr>
        <w:t xml:space="preserve">Les gens du milieu, qui connaissent mieux que d’autres le système paralympique, pourront </w:t>
      </w:r>
      <w:r w:rsidR="00147EE9" w:rsidRPr="00CB1763">
        <w:rPr>
          <w:rFonts w:cs="Arial"/>
          <w:sz w:val="24"/>
          <w:szCs w:val="24"/>
          <w:lang w:val="fr-CA"/>
        </w:rPr>
        <w:lastRenderedPageBreak/>
        <w:t xml:space="preserve">toujours savoir qui est visé </w:t>
      </w:r>
      <w:r w:rsidR="00211982" w:rsidRPr="00CB1763">
        <w:rPr>
          <w:rFonts w:cs="Arial"/>
          <w:sz w:val="24"/>
          <w:szCs w:val="24"/>
          <w:lang w:val="fr-CA"/>
        </w:rPr>
        <w:t>ou impliqué</w:t>
      </w:r>
      <w:r w:rsidR="002046E5" w:rsidRPr="00CB1763">
        <w:rPr>
          <w:rFonts w:cs="Arial"/>
          <w:sz w:val="24"/>
          <w:szCs w:val="24"/>
          <w:lang w:val="fr-CA"/>
        </w:rPr>
        <w:t xml:space="preserve"> </w:t>
      </w:r>
      <w:r w:rsidR="00211982" w:rsidRPr="00CB1763">
        <w:rPr>
          <w:rFonts w:cs="Arial"/>
          <w:sz w:val="24"/>
          <w:szCs w:val="24"/>
          <w:lang w:val="fr-CA"/>
        </w:rPr>
        <w:t>dans un protêt</w:t>
      </w:r>
      <w:r w:rsidRPr="00CB1763">
        <w:rPr>
          <w:rFonts w:cs="Arial"/>
          <w:sz w:val="24"/>
          <w:szCs w:val="24"/>
          <w:lang w:val="fr-CA"/>
        </w:rPr>
        <w:t>.</w:t>
      </w:r>
      <w:r w:rsidR="002046E5" w:rsidRPr="00CB1763">
        <w:rPr>
          <w:rFonts w:cs="Arial"/>
          <w:sz w:val="24"/>
          <w:szCs w:val="24"/>
          <w:lang w:val="fr-CA"/>
        </w:rPr>
        <w:t xml:space="preserve"> </w:t>
      </w:r>
      <w:r w:rsidR="00211982" w:rsidRPr="00CB1763">
        <w:rPr>
          <w:rFonts w:cs="Arial"/>
          <w:sz w:val="24"/>
          <w:szCs w:val="24"/>
          <w:lang w:val="fr-CA"/>
        </w:rPr>
        <w:t>Par contre, le grand public n’aura pas accès à cette information et la vie privée d’un athlète sera ainsi protégée, tout comme celle d’un enfant dont l’identité n’est jamais révélée lors d’une procédure au criminel dans de nombreux pays.</w:t>
      </w:r>
    </w:p>
    <w:p w:rsidR="007E4820" w:rsidRPr="00CB1763" w:rsidRDefault="007E4820" w:rsidP="007B0C90">
      <w:pPr>
        <w:autoSpaceDE w:val="0"/>
        <w:autoSpaceDN w:val="0"/>
        <w:adjustRightInd w:val="0"/>
        <w:spacing w:after="0" w:line="240" w:lineRule="auto"/>
        <w:rPr>
          <w:rFonts w:ascii="Arial" w:hAnsi="Arial" w:cs="Arial"/>
          <w:sz w:val="24"/>
          <w:szCs w:val="24"/>
          <w:lang w:val="fr-CA"/>
        </w:rPr>
      </w:pPr>
      <w:r w:rsidRPr="00CB1763">
        <w:rPr>
          <w:rFonts w:ascii="Arial" w:hAnsi="Arial" w:cs="Arial"/>
          <w:sz w:val="24"/>
          <w:szCs w:val="24"/>
          <w:lang w:val="fr-CA"/>
        </w:rPr>
        <w:t xml:space="preserve"> </w:t>
      </w:r>
    </w:p>
    <w:p w:rsidR="00E370D2" w:rsidRPr="00CB1763" w:rsidRDefault="00D7167A" w:rsidP="006D6074">
      <w:pPr>
        <w:pStyle w:val="Heading2"/>
        <w:numPr>
          <w:ilvl w:val="0"/>
          <w:numId w:val="11"/>
        </w:numPr>
        <w:rPr>
          <w:lang w:val="fr-CA"/>
        </w:rPr>
      </w:pPr>
      <w:bookmarkStart w:id="7" w:name="_Toc368318339"/>
      <w:r w:rsidRPr="00CB1763">
        <w:rPr>
          <w:lang w:val="fr-CA"/>
        </w:rPr>
        <w:t>Défaut de se présenter à une é</w:t>
      </w:r>
      <w:r w:rsidR="00E11A46" w:rsidRPr="00CB1763">
        <w:rPr>
          <w:lang w:val="fr-CA"/>
        </w:rPr>
        <w:t>valuation (Sections 9.2 et</w:t>
      </w:r>
      <w:r w:rsidR="00AF1744" w:rsidRPr="00CB1763">
        <w:rPr>
          <w:lang w:val="fr-CA"/>
        </w:rPr>
        <w:t xml:space="preserve"> 9.3</w:t>
      </w:r>
      <w:r w:rsidR="00E11A46" w:rsidRPr="00CB1763">
        <w:rPr>
          <w:lang w:val="fr-CA"/>
        </w:rPr>
        <w:t xml:space="preserve"> du Code</w:t>
      </w:r>
      <w:r w:rsidR="00AF1744" w:rsidRPr="00CB1763">
        <w:rPr>
          <w:lang w:val="fr-CA"/>
        </w:rPr>
        <w:t>)</w:t>
      </w:r>
      <w:bookmarkEnd w:id="7"/>
    </w:p>
    <w:p w:rsidR="008D53E0" w:rsidRPr="00CB1763" w:rsidRDefault="008D53E0" w:rsidP="007B0C90">
      <w:pPr>
        <w:autoSpaceDE w:val="0"/>
        <w:autoSpaceDN w:val="0"/>
        <w:adjustRightInd w:val="0"/>
        <w:spacing w:after="0" w:line="240" w:lineRule="auto"/>
        <w:rPr>
          <w:rFonts w:ascii="Arial" w:hAnsi="Arial" w:cs="Arial"/>
          <w:sz w:val="24"/>
          <w:szCs w:val="24"/>
          <w:lang w:val="fr-CA"/>
        </w:rPr>
      </w:pPr>
    </w:p>
    <w:p w:rsidR="00B72816" w:rsidRPr="00CB1763" w:rsidRDefault="00211982" w:rsidP="006D6074">
      <w:pPr>
        <w:pStyle w:val="ListParagraph"/>
        <w:numPr>
          <w:ilvl w:val="0"/>
          <w:numId w:val="8"/>
        </w:numPr>
        <w:autoSpaceDE w:val="0"/>
        <w:autoSpaceDN w:val="0"/>
        <w:adjustRightInd w:val="0"/>
        <w:ind w:hanging="720"/>
        <w:rPr>
          <w:rFonts w:cs="Arial"/>
          <w:sz w:val="24"/>
          <w:szCs w:val="24"/>
          <w:lang w:val="fr-CA"/>
        </w:rPr>
      </w:pPr>
      <w:r w:rsidRPr="00CB1763">
        <w:rPr>
          <w:rFonts w:cs="Arial"/>
          <w:sz w:val="24"/>
          <w:szCs w:val="24"/>
          <w:lang w:val="fr-CA"/>
        </w:rPr>
        <w:t>L’ACSA</w:t>
      </w:r>
      <w:r w:rsidR="008D53E0" w:rsidRPr="00CB1763">
        <w:rPr>
          <w:rFonts w:cs="Arial"/>
          <w:sz w:val="24"/>
          <w:szCs w:val="24"/>
          <w:lang w:val="fr-CA"/>
        </w:rPr>
        <w:t xml:space="preserve"> </w:t>
      </w:r>
      <w:r w:rsidRPr="00CB1763">
        <w:rPr>
          <w:rFonts w:cs="Arial"/>
          <w:sz w:val="24"/>
          <w:szCs w:val="24"/>
          <w:lang w:val="fr-CA"/>
        </w:rPr>
        <w:t>s’interroge, à plusieurs égards, sur la pertinence de ces dispositions. Premièrement,</w:t>
      </w:r>
      <w:r w:rsidR="008D53E0" w:rsidRPr="00CB1763">
        <w:rPr>
          <w:rFonts w:cs="Arial"/>
          <w:sz w:val="24"/>
          <w:szCs w:val="24"/>
          <w:lang w:val="fr-CA"/>
        </w:rPr>
        <w:t xml:space="preserve"> </w:t>
      </w:r>
      <w:r w:rsidR="00A3763E" w:rsidRPr="00CB1763">
        <w:rPr>
          <w:rFonts w:cs="Arial"/>
          <w:sz w:val="24"/>
          <w:szCs w:val="24"/>
          <w:lang w:val="fr-CA"/>
        </w:rPr>
        <w:t>les dispositions ne devraient pas stipuler qu’un athlète doit avoir avec lui des documents médicaux lors de son évaluation. Ces documents devraient plutôt parvenir au chef de la classification bien avant la compé</w:t>
      </w:r>
      <w:r w:rsidR="008D53E0" w:rsidRPr="00CB1763">
        <w:rPr>
          <w:rFonts w:cs="Arial"/>
          <w:sz w:val="24"/>
          <w:szCs w:val="24"/>
          <w:lang w:val="fr-CA"/>
        </w:rPr>
        <w:t xml:space="preserve">tition </w:t>
      </w:r>
      <w:r w:rsidR="00A3763E" w:rsidRPr="00CB1763">
        <w:rPr>
          <w:rFonts w:cs="Arial"/>
          <w:sz w:val="24"/>
          <w:szCs w:val="24"/>
          <w:lang w:val="fr-CA"/>
        </w:rPr>
        <w:t xml:space="preserve">pour que l’on puisse déterminer qu’aucun autre document médical </w:t>
      </w:r>
      <w:r w:rsidR="00634AA9" w:rsidRPr="00CB1763">
        <w:rPr>
          <w:rFonts w:cs="Arial"/>
          <w:sz w:val="24"/>
          <w:szCs w:val="24"/>
          <w:lang w:val="fr-CA"/>
        </w:rPr>
        <w:t>n’est requis</w:t>
      </w:r>
      <w:r w:rsidR="008D53E0" w:rsidRPr="00CB1763">
        <w:rPr>
          <w:rFonts w:cs="Arial"/>
          <w:sz w:val="24"/>
          <w:szCs w:val="24"/>
          <w:lang w:val="fr-CA"/>
        </w:rPr>
        <w:t xml:space="preserve"> </w:t>
      </w:r>
      <w:r w:rsidR="00634AA9" w:rsidRPr="00CB1763">
        <w:rPr>
          <w:rFonts w:cs="Arial"/>
          <w:sz w:val="24"/>
          <w:szCs w:val="24"/>
          <w:lang w:val="fr-CA"/>
        </w:rPr>
        <w:t>avant que l’athlète soit classé en vue de la compétition.</w:t>
      </w:r>
      <w:r w:rsidR="008D53E0" w:rsidRPr="00CB1763">
        <w:rPr>
          <w:rFonts w:cs="Arial"/>
          <w:sz w:val="24"/>
          <w:szCs w:val="24"/>
          <w:lang w:val="fr-CA"/>
        </w:rPr>
        <w:t xml:space="preserve"> </w:t>
      </w:r>
      <w:r w:rsidR="00594094" w:rsidRPr="00CB1763">
        <w:rPr>
          <w:rFonts w:cs="Arial"/>
          <w:sz w:val="24"/>
          <w:szCs w:val="24"/>
          <w:lang w:val="fr-CA"/>
        </w:rPr>
        <w:t>On diminue ainsi la probabilité que la</w:t>
      </w:r>
      <w:r w:rsidR="008D53E0" w:rsidRPr="00CB1763">
        <w:rPr>
          <w:rFonts w:cs="Arial"/>
          <w:sz w:val="24"/>
          <w:szCs w:val="24"/>
          <w:lang w:val="fr-CA"/>
        </w:rPr>
        <w:t xml:space="preserve"> classification </w:t>
      </w:r>
      <w:r w:rsidR="00594094" w:rsidRPr="00CB1763">
        <w:rPr>
          <w:rFonts w:cs="Arial"/>
          <w:sz w:val="24"/>
          <w:szCs w:val="24"/>
          <w:lang w:val="fr-CA"/>
        </w:rPr>
        <w:t xml:space="preserve">ne pourra </w:t>
      </w:r>
      <w:r w:rsidR="004521F6" w:rsidRPr="00CB1763">
        <w:rPr>
          <w:rFonts w:cs="Arial"/>
          <w:sz w:val="24"/>
          <w:szCs w:val="24"/>
          <w:lang w:val="fr-CA"/>
        </w:rPr>
        <w:t>être faite, au détriment d’une catégorie donnée</w:t>
      </w:r>
      <w:r w:rsidR="008D53E0" w:rsidRPr="00CB1763">
        <w:rPr>
          <w:rFonts w:cs="Arial"/>
          <w:sz w:val="24"/>
          <w:szCs w:val="24"/>
          <w:lang w:val="fr-CA"/>
        </w:rPr>
        <w:t xml:space="preserve">. </w:t>
      </w:r>
      <w:r w:rsidR="004521F6" w:rsidRPr="00CB1763">
        <w:rPr>
          <w:rFonts w:cs="Arial"/>
          <w:sz w:val="24"/>
          <w:szCs w:val="24"/>
          <w:lang w:val="fr-CA"/>
        </w:rPr>
        <w:t xml:space="preserve">Il serait malheureux qu’un pays membre et un athlète soient exclus de la </w:t>
      </w:r>
      <w:r w:rsidR="004A61DE" w:rsidRPr="00CB1763">
        <w:rPr>
          <w:rFonts w:cs="Arial"/>
          <w:sz w:val="24"/>
          <w:szCs w:val="24"/>
          <w:lang w:val="fr-CA"/>
        </w:rPr>
        <w:t>compé</w:t>
      </w:r>
      <w:r w:rsidR="004521F6" w:rsidRPr="00CB1763">
        <w:rPr>
          <w:rFonts w:cs="Arial"/>
          <w:sz w:val="24"/>
          <w:szCs w:val="24"/>
          <w:lang w:val="fr-CA"/>
        </w:rPr>
        <w:t xml:space="preserve">tition </w:t>
      </w:r>
      <w:r w:rsidR="004A61DE" w:rsidRPr="00CB1763">
        <w:rPr>
          <w:rFonts w:cs="Arial"/>
          <w:sz w:val="24"/>
          <w:szCs w:val="24"/>
          <w:lang w:val="fr-CA"/>
        </w:rPr>
        <w:t>en raison de circonstances hors de leur contrôle, à savoir que le responsable de la classification</w:t>
      </w:r>
      <w:r w:rsidR="008D53E0" w:rsidRPr="00CB1763">
        <w:rPr>
          <w:rFonts w:cs="Arial"/>
          <w:sz w:val="24"/>
          <w:szCs w:val="24"/>
          <w:lang w:val="fr-CA"/>
        </w:rPr>
        <w:t xml:space="preserve"> </w:t>
      </w:r>
      <w:r w:rsidR="00201A78" w:rsidRPr="00CB1763">
        <w:rPr>
          <w:rFonts w:cs="Arial"/>
          <w:sz w:val="24"/>
          <w:szCs w:val="24"/>
          <w:lang w:val="fr-CA"/>
        </w:rPr>
        <w:t>avait besoin de documents additionnels, et ce</w:t>
      </w:r>
      <w:r w:rsidR="00947D40">
        <w:rPr>
          <w:rFonts w:cs="Arial"/>
          <w:sz w:val="24"/>
          <w:szCs w:val="24"/>
          <w:lang w:val="fr-CA"/>
        </w:rPr>
        <w:t>,</w:t>
      </w:r>
      <w:r w:rsidR="00201A78" w:rsidRPr="00CB1763">
        <w:rPr>
          <w:rFonts w:cs="Arial"/>
          <w:sz w:val="24"/>
          <w:szCs w:val="24"/>
          <w:lang w:val="fr-CA"/>
        </w:rPr>
        <w:t xml:space="preserve"> pour la première fois sur un site de compétition.</w:t>
      </w:r>
    </w:p>
    <w:p w:rsidR="00B72816" w:rsidRPr="00CB1763" w:rsidRDefault="00B72816" w:rsidP="007B0C90">
      <w:pPr>
        <w:autoSpaceDE w:val="0"/>
        <w:autoSpaceDN w:val="0"/>
        <w:adjustRightInd w:val="0"/>
        <w:spacing w:after="0" w:line="240" w:lineRule="auto"/>
        <w:rPr>
          <w:rFonts w:ascii="Arial" w:hAnsi="Arial" w:cs="Arial"/>
          <w:sz w:val="24"/>
          <w:szCs w:val="24"/>
          <w:lang w:val="fr-CA"/>
        </w:rPr>
      </w:pPr>
    </w:p>
    <w:p w:rsidR="008D53E0" w:rsidRPr="00CB1763" w:rsidRDefault="00D20372" w:rsidP="006D6074">
      <w:pPr>
        <w:pStyle w:val="ListParagraph"/>
        <w:numPr>
          <w:ilvl w:val="0"/>
          <w:numId w:val="8"/>
        </w:numPr>
        <w:autoSpaceDE w:val="0"/>
        <w:autoSpaceDN w:val="0"/>
        <w:adjustRightInd w:val="0"/>
        <w:ind w:hanging="720"/>
        <w:rPr>
          <w:rFonts w:cs="Arial"/>
          <w:sz w:val="24"/>
          <w:szCs w:val="24"/>
          <w:lang w:val="fr-CA"/>
        </w:rPr>
      </w:pPr>
      <w:r w:rsidRPr="00CB1763">
        <w:rPr>
          <w:rFonts w:cs="Arial"/>
          <w:sz w:val="24"/>
          <w:szCs w:val="24"/>
          <w:lang w:val="fr-CA"/>
        </w:rPr>
        <w:t>Dans l’éventualité où un test invasif doit être fait,</w:t>
      </w:r>
      <w:r w:rsidR="008D53E0" w:rsidRPr="00CB1763">
        <w:rPr>
          <w:rFonts w:cs="Arial"/>
          <w:sz w:val="24"/>
          <w:szCs w:val="24"/>
          <w:lang w:val="fr-CA"/>
        </w:rPr>
        <w:t xml:space="preserve"> </w:t>
      </w:r>
      <w:r w:rsidRPr="00CB1763">
        <w:rPr>
          <w:rFonts w:cs="Arial"/>
          <w:sz w:val="24"/>
          <w:szCs w:val="24"/>
          <w:lang w:val="fr-CA"/>
        </w:rPr>
        <w:t xml:space="preserve">il ne sera peut-être pas possible de le faire à temps, </w:t>
      </w:r>
      <w:r w:rsidR="00265EF6" w:rsidRPr="00CB1763">
        <w:rPr>
          <w:rFonts w:cs="Arial"/>
          <w:sz w:val="24"/>
          <w:szCs w:val="24"/>
          <w:lang w:val="fr-CA"/>
        </w:rPr>
        <w:t>en ayant recours à un médecin dûment autorisé dans le pays où la compétition doit avoir lieu.</w:t>
      </w:r>
      <w:r w:rsidR="008D53E0" w:rsidRPr="00CB1763">
        <w:rPr>
          <w:rFonts w:cs="Arial"/>
          <w:sz w:val="24"/>
          <w:szCs w:val="24"/>
          <w:lang w:val="fr-CA"/>
        </w:rPr>
        <w:t xml:space="preserve"> </w:t>
      </w:r>
      <w:r w:rsidR="00265EF6" w:rsidRPr="00CB1763">
        <w:rPr>
          <w:rFonts w:cs="Arial"/>
          <w:sz w:val="24"/>
          <w:szCs w:val="24"/>
          <w:lang w:val="fr-CA"/>
        </w:rPr>
        <w:t>Le coût des tests pourrait également entrer en ligne de compte, car</w:t>
      </w:r>
      <w:r w:rsidR="00C726AC" w:rsidRPr="00CB1763">
        <w:rPr>
          <w:rFonts w:cs="Arial"/>
          <w:sz w:val="24"/>
          <w:szCs w:val="24"/>
          <w:lang w:val="fr-CA"/>
        </w:rPr>
        <w:t xml:space="preserve"> chacun devrait les assumer.</w:t>
      </w:r>
      <w:r w:rsidR="008D53E0" w:rsidRPr="00CB1763">
        <w:rPr>
          <w:rFonts w:cs="Arial"/>
          <w:sz w:val="24"/>
          <w:szCs w:val="24"/>
          <w:lang w:val="fr-CA"/>
        </w:rPr>
        <w:t xml:space="preserve"> </w:t>
      </w:r>
      <w:r w:rsidR="00C726AC" w:rsidRPr="00CB1763">
        <w:rPr>
          <w:rFonts w:cs="Arial"/>
          <w:sz w:val="24"/>
          <w:szCs w:val="24"/>
          <w:lang w:val="fr-CA"/>
        </w:rPr>
        <w:t>Et comme il s’agit de tests médicaux requis par une tierce partie,</w:t>
      </w:r>
      <w:r w:rsidR="008D53E0" w:rsidRPr="00CB1763">
        <w:rPr>
          <w:rFonts w:cs="Arial"/>
          <w:sz w:val="24"/>
          <w:szCs w:val="24"/>
          <w:lang w:val="fr-CA"/>
        </w:rPr>
        <w:t xml:space="preserve"> </w:t>
      </w:r>
      <w:r w:rsidR="00C726AC" w:rsidRPr="00CB1763">
        <w:rPr>
          <w:rFonts w:cs="Arial"/>
          <w:sz w:val="24"/>
          <w:szCs w:val="24"/>
          <w:lang w:val="fr-CA"/>
        </w:rPr>
        <w:t>il est fort possible que le coût ne soit pas remboursé par le régime d’assurance-maladie</w:t>
      </w:r>
      <w:r w:rsidR="008D53E0" w:rsidRPr="00CB1763">
        <w:rPr>
          <w:rFonts w:cs="Arial"/>
          <w:sz w:val="24"/>
          <w:szCs w:val="24"/>
          <w:lang w:val="fr-CA"/>
        </w:rPr>
        <w:t>.</w:t>
      </w:r>
    </w:p>
    <w:p w:rsidR="008D53E0" w:rsidRPr="00CB1763" w:rsidRDefault="008D53E0" w:rsidP="007B0C90">
      <w:pPr>
        <w:autoSpaceDE w:val="0"/>
        <w:autoSpaceDN w:val="0"/>
        <w:adjustRightInd w:val="0"/>
        <w:spacing w:after="0" w:line="240" w:lineRule="auto"/>
        <w:rPr>
          <w:rFonts w:ascii="Arial" w:hAnsi="Arial" w:cs="Arial"/>
          <w:sz w:val="24"/>
          <w:szCs w:val="24"/>
          <w:lang w:val="fr-CA"/>
        </w:rPr>
      </w:pPr>
    </w:p>
    <w:p w:rsidR="008D53E0" w:rsidRPr="00CB1763" w:rsidRDefault="00C726AC" w:rsidP="006D6074">
      <w:pPr>
        <w:pStyle w:val="ListParagraph"/>
        <w:numPr>
          <w:ilvl w:val="0"/>
          <w:numId w:val="8"/>
        </w:numPr>
        <w:autoSpaceDE w:val="0"/>
        <w:autoSpaceDN w:val="0"/>
        <w:adjustRightInd w:val="0"/>
        <w:ind w:hanging="630"/>
        <w:rPr>
          <w:rFonts w:cs="Arial"/>
          <w:sz w:val="24"/>
          <w:szCs w:val="24"/>
          <w:lang w:val="fr-CA"/>
        </w:rPr>
      </w:pPr>
      <w:r w:rsidRPr="00CB1763">
        <w:rPr>
          <w:rFonts w:cs="Arial"/>
          <w:sz w:val="24"/>
          <w:szCs w:val="24"/>
          <w:lang w:val="fr-CA"/>
        </w:rPr>
        <w:t>Une disposition devrait être ajoutée</w:t>
      </w:r>
      <w:r w:rsidR="00C225F2" w:rsidRPr="00CB1763">
        <w:rPr>
          <w:rFonts w:cs="Arial"/>
          <w:sz w:val="24"/>
          <w:szCs w:val="24"/>
          <w:lang w:val="fr-CA"/>
        </w:rPr>
        <w:t xml:space="preserve"> </w:t>
      </w:r>
      <w:r w:rsidRPr="00CB1763">
        <w:rPr>
          <w:rFonts w:cs="Arial"/>
          <w:sz w:val="24"/>
          <w:szCs w:val="24"/>
          <w:lang w:val="fr-CA"/>
        </w:rPr>
        <w:t xml:space="preserve">à cette section du </w:t>
      </w:r>
      <w:r w:rsidR="002046E5" w:rsidRPr="00CB1763">
        <w:rPr>
          <w:rFonts w:cs="Arial"/>
          <w:sz w:val="24"/>
          <w:szCs w:val="24"/>
          <w:lang w:val="fr-CA"/>
        </w:rPr>
        <w:t xml:space="preserve">Code </w:t>
      </w:r>
      <w:r w:rsidRPr="00CB1763">
        <w:rPr>
          <w:rFonts w:cs="Arial"/>
          <w:sz w:val="24"/>
          <w:szCs w:val="24"/>
          <w:lang w:val="fr-CA"/>
        </w:rPr>
        <w:t>afin d’exiger des FI qu’elles indiquent avec précision quel type de v</w:t>
      </w:r>
      <w:r w:rsidR="00342C21" w:rsidRPr="00CB1763">
        <w:rPr>
          <w:rFonts w:cs="Arial"/>
          <w:sz w:val="24"/>
          <w:szCs w:val="24"/>
          <w:lang w:val="fr-CA"/>
        </w:rPr>
        <w:t>êtement et d’équipement les athlè</w:t>
      </w:r>
      <w:r w:rsidR="00C225F2" w:rsidRPr="00CB1763">
        <w:rPr>
          <w:rFonts w:cs="Arial"/>
          <w:sz w:val="24"/>
          <w:szCs w:val="24"/>
          <w:lang w:val="fr-CA"/>
        </w:rPr>
        <w:t>tes</w:t>
      </w:r>
      <w:r w:rsidR="00342C21" w:rsidRPr="00CB1763">
        <w:rPr>
          <w:rFonts w:cs="Arial"/>
          <w:sz w:val="24"/>
          <w:szCs w:val="24"/>
          <w:lang w:val="fr-CA"/>
        </w:rPr>
        <w:t xml:space="preserve"> doivent avoir avec eux pour être classés</w:t>
      </w:r>
      <w:r w:rsidR="00402B39" w:rsidRPr="00CB1763">
        <w:rPr>
          <w:rFonts w:cs="Arial"/>
          <w:sz w:val="24"/>
          <w:szCs w:val="24"/>
          <w:lang w:val="fr-CA"/>
        </w:rPr>
        <w:t xml:space="preserve"> avec succès</w:t>
      </w:r>
      <w:r w:rsidR="00C225F2" w:rsidRPr="00CB1763">
        <w:rPr>
          <w:rFonts w:cs="Arial"/>
          <w:sz w:val="24"/>
          <w:szCs w:val="24"/>
          <w:lang w:val="fr-CA"/>
        </w:rPr>
        <w:t xml:space="preserve">. </w:t>
      </w:r>
      <w:r w:rsidR="00402B39" w:rsidRPr="00CB1763">
        <w:rPr>
          <w:rFonts w:cs="Arial"/>
          <w:sz w:val="24"/>
          <w:szCs w:val="24"/>
          <w:lang w:val="fr-CA"/>
        </w:rPr>
        <w:t>Cela permettra d’éviter les malentendus et la contestation chez les athlè</w:t>
      </w:r>
      <w:r w:rsidR="00C225F2" w:rsidRPr="00CB1763">
        <w:rPr>
          <w:rFonts w:cs="Arial"/>
          <w:sz w:val="24"/>
          <w:szCs w:val="24"/>
          <w:lang w:val="fr-CA"/>
        </w:rPr>
        <w:t xml:space="preserve">tes </w:t>
      </w:r>
      <w:r w:rsidR="00402B39" w:rsidRPr="00CB1763">
        <w:rPr>
          <w:rFonts w:cs="Arial"/>
          <w:sz w:val="24"/>
          <w:szCs w:val="24"/>
          <w:lang w:val="fr-CA"/>
        </w:rPr>
        <w:t>n’ayant pas été mis au courant de ce que l’on attendait d’eux</w:t>
      </w:r>
      <w:r w:rsidR="00C225F2" w:rsidRPr="00CB1763">
        <w:rPr>
          <w:rFonts w:cs="Arial"/>
          <w:sz w:val="24"/>
          <w:szCs w:val="24"/>
          <w:lang w:val="fr-CA"/>
        </w:rPr>
        <w:t>.</w:t>
      </w:r>
    </w:p>
    <w:p w:rsidR="00C225F2" w:rsidRPr="00CB1763" w:rsidRDefault="00C225F2" w:rsidP="007B0C90">
      <w:pPr>
        <w:autoSpaceDE w:val="0"/>
        <w:autoSpaceDN w:val="0"/>
        <w:adjustRightInd w:val="0"/>
        <w:spacing w:after="0" w:line="240" w:lineRule="auto"/>
        <w:rPr>
          <w:rFonts w:ascii="Arial" w:hAnsi="Arial" w:cs="Arial"/>
          <w:sz w:val="24"/>
          <w:szCs w:val="24"/>
          <w:lang w:val="fr-CA"/>
        </w:rPr>
      </w:pPr>
    </w:p>
    <w:p w:rsidR="009E1750" w:rsidRPr="00CB1763" w:rsidRDefault="001C0077" w:rsidP="006D6074">
      <w:pPr>
        <w:pStyle w:val="Heading2"/>
        <w:numPr>
          <w:ilvl w:val="0"/>
          <w:numId w:val="11"/>
        </w:numPr>
        <w:rPr>
          <w:lang w:val="fr-CA"/>
        </w:rPr>
      </w:pPr>
      <w:bookmarkStart w:id="8" w:name="_Toc368318340"/>
      <w:r w:rsidRPr="00CB1763">
        <w:rPr>
          <w:lang w:val="fr-CA"/>
        </w:rPr>
        <w:t>Absence de coopération (</w:t>
      </w:r>
      <w:r w:rsidR="00AF1744" w:rsidRPr="00CB1763">
        <w:rPr>
          <w:lang w:val="fr-CA"/>
        </w:rPr>
        <w:t>Section 10</w:t>
      </w:r>
      <w:r w:rsidRPr="00CB1763">
        <w:rPr>
          <w:lang w:val="fr-CA"/>
        </w:rPr>
        <w:t xml:space="preserve"> du Code</w:t>
      </w:r>
      <w:r w:rsidR="00AF1744" w:rsidRPr="00CB1763">
        <w:rPr>
          <w:lang w:val="fr-CA"/>
        </w:rPr>
        <w:t>)</w:t>
      </w:r>
      <w:bookmarkEnd w:id="8"/>
    </w:p>
    <w:p w:rsidR="009E1750" w:rsidRPr="00CB1763" w:rsidRDefault="009E1750" w:rsidP="007B0C90">
      <w:pPr>
        <w:autoSpaceDE w:val="0"/>
        <w:autoSpaceDN w:val="0"/>
        <w:adjustRightInd w:val="0"/>
        <w:spacing w:after="0" w:line="240" w:lineRule="auto"/>
        <w:rPr>
          <w:rFonts w:ascii="Arial" w:hAnsi="Arial" w:cs="Arial"/>
          <w:sz w:val="24"/>
          <w:szCs w:val="24"/>
          <w:lang w:val="fr-CA"/>
        </w:rPr>
      </w:pPr>
    </w:p>
    <w:p w:rsidR="00C225F2" w:rsidRPr="00CB1763" w:rsidRDefault="00637682" w:rsidP="006D6074">
      <w:pPr>
        <w:pStyle w:val="ListParagraph"/>
        <w:numPr>
          <w:ilvl w:val="0"/>
          <w:numId w:val="8"/>
        </w:numPr>
        <w:autoSpaceDE w:val="0"/>
        <w:autoSpaceDN w:val="0"/>
        <w:adjustRightInd w:val="0"/>
        <w:ind w:hanging="720"/>
        <w:rPr>
          <w:rFonts w:cs="Arial"/>
          <w:sz w:val="24"/>
          <w:szCs w:val="24"/>
          <w:lang w:val="fr-CA"/>
        </w:rPr>
      </w:pPr>
      <w:r w:rsidRPr="00CB1763">
        <w:rPr>
          <w:rFonts w:cs="Arial"/>
          <w:sz w:val="24"/>
          <w:szCs w:val="24"/>
          <w:lang w:val="fr-CA"/>
        </w:rPr>
        <w:t>Un autre point important</w:t>
      </w:r>
      <w:r w:rsidR="006342B6" w:rsidRPr="00CB1763">
        <w:rPr>
          <w:rFonts w:cs="Arial"/>
          <w:sz w:val="24"/>
          <w:szCs w:val="24"/>
          <w:lang w:val="fr-CA"/>
        </w:rPr>
        <w:t xml:space="preserve"> </w:t>
      </w:r>
      <w:r w:rsidR="000D7B85" w:rsidRPr="00CB1763">
        <w:rPr>
          <w:rFonts w:cs="Arial"/>
          <w:sz w:val="24"/>
          <w:szCs w:val="24"/>
          <w:lang w:val="fr-CA"/>
        </w:rPr>
        <w:t>concerne le fait qu’un athlète refuse de se conformer aux demandes du responsable de la classification</w:t>
      </w:r>
      <w:r w:rsidR="00314562" w:rsidRPr="00CB1763">
        <w:rPr>
          <w:rFonts w:cs="Arial"/>
          <w:sz w:val="24"/>
          <w:szCs w:val="24"/>
          <w:lang w:val="fr-CA"/>
        </w:rPr>
        <w:t>, pour que ce dernier soit en mesure de terminer le processus</w:t>
      </w:r>
      <w:r w:rsidRPr="00CB1763">
        <w:rPr>
          <w:rFonts w:cs="Arial"/>
          <w:sz w:val="24"/>
          <w:szCs w:val="24"/>
          <w:lang w:val="fr-CA"/>
        </w:rPr>
        <w:t>.</w:t>
      </w:r>
      <w:r w:rsidR="006342B6" w:rsidRPr="00CB1763">
        <w:rPr>
          <w:rFonts w:cs="Arial"/>
          <w:sz w:val="24"/>
          <w:szCs w:val="24"/>
          <w:lang w:val="fr-CA"/>
        </w:rPr>
        <w:t xml:space="preserve"> </w:t>
      </w:r>
      <w:r w:rsidR="00314562" w:rsidRPr="00CB1763">
        <w:rPr>
          <w:rFonts w:cs="Arial"/>
          <w:sz w:val="24"/>
          <w:szCs w:val="24"/>
          <w:lang w:val="fr-CA"/>
        </w:rPr>
        <w:t>Les motifs invoqués doivent faire l’objet d’une analyse plus approfondie dans le</w:t>
      </w:r>
      <w:r w:rsidRPr="00CB1763">
        <w:rPr>
          <w:rFonts w:cs="Arial"/>
          <w:sz w:val="24"/>
          <w:szCs w:val="24"/>
          <w:lang w:val="fr-CA"/>
        </w:rPr>
        <w:t xml:space="preserve"> Code.</w:t>
      </w:r>
      <w:r w:rsidR="009E1750" w:rsidRPr="00CB1763">
        <w:rPr>
          <w:rFonts w:cs="Arial"/>
          <w:sz w:val="24"/>
          <w:szCs w:val="24"/>
          <w:lang w:val="fr-CA"/>
        </w:rPr>
        <w:t xml:space="preserve"> </w:t>
      </w:r>
      <w:r w:rsidR="00314562" w:rsidRPr="00CB1763">
        <w:rPr>
          <w:rFonts w:cs="Arial"/>
          <w:sz w:val="24"/>
          <w:szCs w:val="24"/>
          <w:lang w:val="fr-CA"/>
        </w:rPr>
        <w:t>Dans certains cas, un athlète peut avoir un motif valable de refuser de coopérer pour que le processus de classification soit mené à terme.</w:t>
      </w:r>
      <w:r w:rsidR="009E1750" w:rsidRPr="00CB1763">
        <w:rPr>
          <w:rFonts w:cs="Arial"/>
          <w:sz w:val="24"/>
          <w:szCs w:val="24"/>
          <w:lang w:val="fr-CA"/>
        </w:rPr>
        <w:t xml:space="preserve"> </w:t>
      </w:r>
      <w:r w:rsidR="00314562" w:rsidRPr="00CB1763">
        <w:rPr>
          <w:rFonts w:cs="Arial"/>
          <w:sz w:val="24"/>
          <w:szCs w:val="24"/>
          <w:lang w:val="fr-CA"/>
        </w:rPr>
        <w:t>Par exe</w:t>
      </w:r>
      <w:r w:rsidR="009E1750" w:rsidRPr="00CB1763">
        <w:rPr>
          <w:rFonts w:cs="Arial"/>
          <w:sz w:val="24"/>
          <w:szCs w:val="24"/>
          <w:lang w:val="fr-CA"/>
        </w:rPr>
        <w:t xml:space="preserve">mple, </w:t>
      </w:r>
      <w:r w:rsidR="00EB72CD" w:rsidRPr="00CB1763">
        <w:rPr>
          <w:rFonts w:cs="Arial"/>
          <w:sz w:val="24"/>
          <w:szCs w:val="24"/>
          <w:lang w:val="fr-CA"/>
        </w:rPr>
        <w:t>en ce qui a trait à la déficience visuelle,</w:t>
      </w:r>
      <w:r w:rsidR="006342B6" w:rsidRPr="00CB1763">
        <w:rPr>
          <w:rFonts w:cs="Arial"/>
          <w:sz w:val="24"/>
          <w:szCs w:val="24"/>
          <w:lang w:val="fr-CA"/>
        </w:rPr>
        <w:t xml:space="preserve"> </w:t>
      </w:r>
      <w:r w:rsidR="00667CF3" w:rsidRPr="00CB1763">
        <w:rPr>
          <w:rFonts w:cs="Arial"/>
          <w:sz w:val="24"/>
          <w:szCs w:val="24"/>
          <w:lang w:val="fr-CA"/>
        </w:rPr>
        <w:t>il pourrait être nécessaire qu’un athlète subisse une procédure invasive pour que le processus de classification soit mené à terme.</w:t>
      </w:r>
      <w:r w:rsidR="006342B6" w:rsidRPr="00CB1763">
        <w:rPr>
          <w:rFonts w:cs="Arial"/>
          <w:sz w:val="24"/>
          <w:szCs w:val="24"/>
          <w:lang w:val="fr-CA"/>
        </w:rPr>
        <w:t xml:space="preserve"> </w:t>
      </w:r>
      <w:r w:rsidR="009351B6" w:rsidRPr="00CB1763">
        <w:rPr>
          <w:rFonts w:cs="Arial"/>
          <w:sz w:val="24"/>
          <w:szCs w:val="24"/>
          <w:lang w:val="fr-CA"/>
        </w:rPr>
        <w:t>L’une de ces procédures consiste à administrer des gouttes ophtalmiques pour que le responsable de la classification puisse évaluer correctement l’état des yeux de l’athlète.</w:t>
      </w:r>
      <w:r w:rsidR="006342B6" w:rsidRPr="00CB1763">
        <w:rPr>
          <w:rFonts w:cs="Arial"/>
          <w:sz w:val="24"/>
          <w:szCs w:val="24"/>
          <w:lang w:val="fr-CA"/>
        </w:rPr>
        <w:t xml:space="preserve"> </w:t>
      </w:r>
      <w:r w:rsidR="009351B6" w:rsidRPr="00CB1763">
        <w:rPr>
          <w:rFonts w:cs="Arial"/>
          <w:sz w:val="24"/>
          <w:szCs w:val="24"/>
          <w:lang w:val="fr-CA"/>
        </w:rPr>
        <w:t xml:space="preserve">Une telle </w:t>
      </w:r>
      <w:r w:rsidR="009351B6" w:rsidRPr="00CB1763">
        <w:rPr>
          <w:rFonts w:cs="Arial"/>
          <w:sz w:val="24"/>
          <w:szCs w:val="24"/>
          <w:lang w:val="fr-CA"/>
        </w:rPr>
        <w:lastRenderedPageBreak/>
        <w:t xml:space="preserve">procédure pourrait, </w:t>
      </w:r>
      <w:r w:rsidRPr="00CB1763">
        <w:rPr>
          <w:rFonts w:cs="Arial"/>
          <w:sz w:val="24"/>
          <w:szCs w:val="24"/>
          <w:lang w:val="fr-CA"/>
        </w:rPr>
        <w:t>en théorie</w:t>
      </w:r>
      <w:r w:rsidR="006342B6" w:rsidRPr="00CB1763">
        <w:rPr>
          <w:rFonts w:cs="Arial"/>
          <w:sz w:val="24"/>
          <w:szCs w:val="24"/>
          <w:lang w:val="fr-CA"/>
        </w:rPr>
        <w:t xml:space="preserve">, </w:t>
      </w:r>
      <w:r w:rsidR="009351B6" w:rsidRPr="00CB1763">
        <w:rPr>
          <w:rFonts w:cs="Arial"/>
          <w:sz w:val="24"/>
          <w:szCs w:val="24"/>
          <w:lang w:val="fr-CA"/>
        </w:rPr>
        <w:t>contribuer à introduire dans le corps de l’athlète une substance</w:t>
      </w:r>
      <w:r w:rsidR="006342B6" w:rsidRPr="00CB1763">
        <w:rPr>
          <w:rFonts w:cs="Arial"/>
          <w:sz w:val="24"/>
          <w:szCs w:val="24"/>
          <w:lang w:val="fr-CA"/>
        </w:rPr>
        <w:t xml:space="preserve"> </w:t>
      </w:r>
      <w:r w:rsidR="002C6F5F" w:rsidRPr="00CB1763">
        <w:rPr>
          <w:rFonts w:cs="Arial"/>
          <w:sz w:val="24"/>
          <w:szCs w:val="24"/>
          <w:lang w:val="fr-CA"/>
        </w:rPr>
        <w:t>interdite par l’AMA</w:t>
      </w:r>
      <w:r w:rsidR="006342B6" w:rsidRPr="00CB1763">
        <w:rPr>
          <w:rFonts w:cs="Arial"/>
          <w:sz w:val="24"/>
          <w:szCs w:val="24"/>
          <w:lang w:val="fr-CA"/>
        </w:rPr>
        <w:t xml:space="preserve"> </w:t>
      </w:r>
      <w:r w:rsidR="002C6F5F" w:rsidRPr="00CB1763">
        <w:rPr>
          <w:rFonts w:cs="Arial"/>
          <w:sz w:val="24"/>
          <w:szCs w:val="24"/>
          <w:lang w:val="fr-CA"/>
        </w:rPr>
        <w:t>et</w:t>
      </w:r>
      <w:r w:rsidR="00DE2F6B">
        <w:rPr>
          <w:rFonts w:cs="Arial"/>
          <w:sz w:val="24"/>
          <w:szCs w:val="24"/>
          <w:lang w:val="fr-CA"/>
        </w:rPr>
        <w:t>,</w:t>
      </w:r>
      <w:r w:rsidR="002C6F5F" w:rsidRPr="00CB1763">
        <w:rPr>
          <w:rFonts w:cs="Arial"/>
          <w:sz w:val="24"/>
          <w:szCs w:val="24"/>
          <w:lang w:val="fr-CA"/>
        </w:rPr>
        <w:t xml:space="preserve"> par conséquent</w:t>
      </w:r>
      <w:r w:rsidR="00DE2F6B">
        <w:rPr>
          <w:rFonts w:cs="Arial"/>
          <w:sz w:val="24"/>
          <w:szCs w:val="24"/>
          <w:lang w:val="fr-CA"/>
        </w:rPr>
        <w:t>,</w:t>
      </w:r>
      <w:r w:rsidR="002C6F5F" w:rsidRPr="00CB1763">
        <w:rPr>
          <w:rFonts w:cs="Arial"/>
          <w:sz w:val="24"/>
          <w:szCs w:val="24"/>
          <w:lang w:val="fr-CA"/>
        </w:rPr>
        <w:t xml:space="preserve"> compromettre</w:t>
      </w:r>
      <w:r w:rsidR="006342B6" w:rsidRPr="00CB1763">
        <w:rPr>
          <w:rFonts w:cs="Arial"/>
          <w:sz w:val="24"/>
          <w:szCs w:val="24"/>
          <w:lang w:val="fr-CA"/>
        </w:rPr>
        <w:t xml:space="preserve"> </w:t>
      </w:r>
      <w:r w:rsidR="002C6F5F" w:rsidRPr="00CB1763">
        <w:rPr>
          <w:rFonts w:cs="Arial"/>
          <w:sz w:val="24"/>
          <w:szCs w:val="24"/>
          <w:lang w:val="fr-CA"/>
        </w:rPr>
        <w:t>la participation de l’athlète à la compétition</w:t>
      </w:r>
      <w:r w:rsidRPr="00CB1763">
        <w:rPr>
          <w:rFonts w:cs="Arial"/>
          <w:sz w:val="24"/>
          <w:szCs w:val="24"/>
          <w:lang w:val="fr-CA"/>
        </w:rPr>
        <w:t>.</w:t>
      </w:r>
      <w:r w:rsidR="006342B6" w:rsidRPr="00CB1763">
        <w:rPr>
          <w:rFonts w:cs="Arial"/>
          <w:sz w:val="24"/>
          <w:szCs w:val="24"/>
          <w:lang w:val="fr-CA"/>
        </w:rPr>
        <w:t xml:space="preserve"> </w:t>
      </w:r>
      <w:r w:rsidR="002C6F5F" w:rsidRPr="00CB1763">
        <w:rPr>
          <w:rFonts w:cs="Arial"/>
          <w:sz w:val="24"/>
          <w:szCs w:val="24"/>
          <w:lang w:val="fr-CA"/>
        </w:rPr>
        <w:t>Les gouttes pourraient aussi provoquer une réaction allergique dans certains cas</w:t>
      </w:r>
      <w:r w:rsidRPr="00CB1763">
        <w:rPr>
          <w:rFonts w:cs="Arial"/>
          <w:sz w:val="24"/>
          <w:szCs w:val="24"/>
          <w:lang w:val="fr-CA"/>
        </w:rPr>
        <w:t xml:space="preserve">. </w:t>
      </w:r>
      <w:r w:rsidR="009351B6" w:rsidRPr="00CB1763">
        <w:rPr>
          <w:rFonts w:cs="Arial"/>
          <w:sz w:val="24"/>
          <w:szCs w:val="24"/>
          <w:lang w:val="fr-CA"/>
        </w:rPr>
        <w:t xml:space="preserve">C’est pourquoi les </w:t>
      </w:r>
      <w:r w:rsidR="002C6F5F" w:rsidRPr="00CB1763">
        <w:rPr>
          <w:rFonts w:cs="Arial"/>
          <w:sz w:val="24"/>
          <w:szCs w:val="24"/>
          <w:lang w:val="fr-CA"/>
        </w:rPr>
        <w:t>pré</w:t>
      </w:r>
      <w:r w:rsidR="009351B6" w:rsidRPr="00CB1763">
        <w:rPr>
          <w:rFonts w:cs="Arial"/>
          <w:sz w:val="24"/>
          <w:szCs w:val="24"/>
          <w:lang w:val="fr-CA"/>
        </w:rPr>
        <w:t>cautions suivantes s’imposent et devraient faire partie du C</w:t>
      </w:r>
      <w:r w:rsidR="006342B6" w:rsidRPr="00CB1763">
        <w:rPr>
          <w:rFonts w:cs="Arial"/>
          <w:sz w:val="24"/>
          <w:szCs w:val="24"/>
          <w:lang w:val="fr-CA"/>
        </w:rPr>
        <w:t>ode</w:t>
      </w:r>
      <w:r w:rsidR="00211982" w:rsidRPr="00CB1763">
        <w:rPr>
          <w:rFonts w:cs="Arial"/>
          <w:sz w:val="24"/>
          <w:szCs w:val="24"/>
          <w:lang w:val="fr-CA"/>
        </w:rPr>
        <w:t> </w:t>
      </w:r>
      <w:r w:rsidR="006342B6" w:rsidRPr="00CB1763">
        <w:rPr>
          <w:rFonts w:cs="Arial"/>
          <w:sz w:val="24"/>
          <w:szCs w:val="24"/>
          <w:lang w:val="fr-CA"/>
        </w:rPr>
        <w:t>:</w:t>
      </w:r>
      <w:r w:rsidR="00211982" w:rsidRPr="00CB1763">
        <w:rPr>
          <w:rFonts w:cs="Arial"/>
          <w:sz w:val="24"/>
          <w:szCs w:val="24"/>
          <w:lang w:val="fr-CA"/>
        </w:rPr>
        <w:t> </w:t>
      </w:r>
    </w:p>
    <w:p w:rsidR="006342B6" w:rsidRPr="00CB1763" w:rsidRDefault="006342B6" w:rsidP="007B0C90">
      <w:pPr>
        <w:autoSpaceDE w:val="0"/>
        <w:autoSpaceDN w:val="0"/>
        <w:adjustRightInd w:val="0"/>
        <w:spacing w:after="0" w:line="240" w:lineRule="auto"/>
        <w:rPr>
          <w:rFonts w:ascii="Arial" w:hAnsi="Arial" w:cs="Arial"/>
          <w:sz w:val="24"/>
          <w:szCs w:val="24"/>
          <w:lang w:val="fr-CA"/>
        </w:rPr>
      </w:pPr>
    </w:p>
    <w:p w:rsidR="006D6074" w:rsidRPr="00CB1763" w:rsidRDefault="00A3763E" w:rsidP="00037E88">
      <w:pPr>
        <w:pStyle w:val="ListParagraph"/>
        <w:numPr>
          <w:ilvl w:val="0"/>
          <w:numId w:val="2"/>
        </w:numPr>
        <w:autoSpaceDE w:val="0"/>
        <w:autoSpaceDN w:val="0"/>
        <w:adjustRightInd w:val="0"/>
        <w:ind w:left="2160"/>
        <w:rPr>
          <w:rFonts w:cs="Arial"/>
          <w:sz w:val="24"/>
          <w:szCs w:val="24"/>
          <w:lang w:val="fr-CA"/>
        </w:rPr>
      </w:pPr>
      <w:r w:rsidRPr="00CB1763">
        <w:rPr>
          <w:rFonts w:cs="Arial"/>
          <w:sz w:val="24"/>
          <w:szCs w:val="24"/>
          <w:lang w:val="fr-CA"/>
        </w:rPr>
        <w:t>Aucun responsable de la classification n’est autorisé à</w:t>
      </w:r>
      <w:r w:rsidR="00531898" w:rsidRPr="00CB1763">
        <w:rPr>
          <w:rFonts w:cs="Arial"/>
          <w:sz w:val="24"/>
          <w:szCs w:val="24"/>
          <w:lang w:val="fr-CA"/>
        </w:rPr>
        <w:t xml:space="preserve"> effectuer une procédure invasive sans le consentement écrit de l’athlète. Ce processus doit se dérouler dans les règles de l’art et le consentement ne doit jamais être obtenu sous la contrainte</w:t>
      </w:r>
      <w:r w:rsidR="006342B6" w:rsidRPr="00CB1763">
        <w:rPr>
          <w:rFonts w:cs="Arial"/>
          <w:sz w:val="24"/>
          <w:szCs w:val="24"/>
          <w:lang w:val="fr-CA"/>
        </w:rPr>
        <w:t>.</w:t>
      </w:r>
      <w:r w:rsidR="00531898" w:rsidRPr="00CB1763">
        <w:rPr>
          <w:rFonts w:cs="Arial"/>
          <w:sz w:val="24"/>
          <w:szCs w:val="24"/>
          <w:lang w:val="fr-CA"/>
        </w:rPr>
        <w:t xml:space="preserve"> L’ACSA</w:t>
      </w:r>
      <w:r w:rsidR="009E1750" w:rsidRPr="00CB1763">
        <w:rPr>
          <w:rFonts w:cs="Arial"/>
          <w:sz w:val="24"/>
          <w:szCs w:val="24"/>
          <w:lang w:val="fr-CA"/>
        </w:rPr>
        <w:t xml:space="preserve"> </w:t>
      </w:r>
      <w:r w:rsidR="00531898" w:rsidRPr="00CB1763">
        <w:rPr>
          <w:rFonts w:cs="Arial"/>
          <w:sz w:val="24"/>
          <w:szCs w:val="24"/>
          <w:lang w:val="fr-CA"/>
        </w:rPr>
        <w:t>a préparé un document</w:t>
      </w:r>
      <w:r w:rsidR="009E1750" w:rsidRPr="00CB1763">
        <w:rPr>
          <w:rFonts w:cs="Arial"/>
          <w:sz w:val="24"/>
          <w:szCs w:val="24"/>
          <w:lang w:val="fr-CA"/>
        </w:rPr>
        <w:t xml:space="preserve"> </w:t>
      </w:r>
      <w:r w:rsidR="00531898" w:rsidRPr="00CB1763">
        <w:rPr>
          <w:rFonts w:cs="Arial"/>
          <w:sz w:val="24"/>
          <w:szCs w:val="24"/>
          <w:lang w:val="fr-CA"/>
        </w:rPr>
        <w:t>à cet effet, qui pourrait être utile aux responsables de la classification.</w:t>
      </w:r>
      <w:r w:rsidR="009E1750" w:rsidRPr="00CB1763">
        <w:rPr>
          <w:rFonts w:cs="Arial"/>
          <w:sz w:val="24"/>
          <w:szCs w:val="24"/>
          <w:lang w:val="fr-CA"/>
        </w:rPr>
        <w:t xml:space="preserve"> </w:t>
      </w:r>
      <w:r w:rsidR="000A46C2" w:rsidRPr="00CB1763">
        <w:rPr>
          <w:rFonts w:cs="Arial"/>
          <w:sz w:val="24"/>
          <w:szCs w:val="24"/>
          <w:lang w:val="fr-CA"/>
        </w:rPr>
        <w:t>Nous en avons joint un exemplaire pour les membres du comité.</w:t>
      </w:r>
    </w:p>
    <w:p w:rsidR="006D6074" w:rsidRPr="00CB1763" w:rsidRDefault="000A46C2" w:rsidP="00037E88">
      <w:pPr>
        <w:pStyle w:val="ListParagraph"/>
        <w:numPr>
          <w:ilvl w:val="0"/>
          <w:numId w:val="2"/>
        </w:numPr>
        <w:autoSpaceDE w:val="0"/>
        <w:autoSpaceDN w:val="0"/>
        <w:adjustRightInd w:val="0"/>
        <w:ind w:left="2160" w:hanging="450"/>
        <w:rPr>
          <w:rFonts w:cs="Arial"/>
          <w:sz w:val="24"/>
          <w:szCs w:val="24"/>
          <w:lang w:val="fr-CA"/>
        </w:rPr>
      </w:pPr>
      <w:r w:rsidRPr="00CB1763">
        <w:rPr>
          <w:rFonts w:cs="Arial"/>
          <w:sz w:val="24"/>
          <w:szCs w:val="24"/>
          <w:lang w:val="fr-CA"/>
        </w:rPr>
        <w:t>Le responsable de la classification doit s’assurer que les médicaments, gouttes ou autres substances administrés à un athlète durant le processus de classification ne contreviennent pas au code de l’AMA.</w:t>
      </w:r>
      <w:r w:rsidR="006342B6" w:rsidRPr="00CB1763">
        <w:rPr>
          <w:rFonts w:cs="Arial"/>
          <w:sz w:val="24"/>
          <w:szCs w:val="24"/>
          <w:lang w:val="fr-CA"/>
        </w:rPr>
        <w:t xml:space="preserve"> </w:t>
      </w:r>
      <w:r w:rsidRPr="00CB1763">
        <w:rPr>
          <w:rFonts w:cs="Arial"/>
          <w:sz w:val="24"/>
          <w:szCs w:val="24"/>
          <w:lang w:val="fr-CA"/>
        </w:rPr>
        <w:t xml:space="preserve">Le responsable doit appliquer un capuchon étanche sur la bouteille ou le flacon utilisé jusqu’à ce que la compétition soit terminée, pour que l’athlète puisse s’y référer advenant </w:t>
      </w:r>
      <w:r w:rsidR="000D6210" w:rsidRPr="00CB1763">
        <w:rPr>
          <w:rFonts w:cs="Arial"/>
          <w:sz w:val="24"/>
          <w:szCs w:val="24"/>
          <w:lang w:val="fr-CA"/>
        </w:rPr>
        <w:t>un test de dépistage de drogues positif.</w:t>
      </w:r>
    </w:p>
    <w:p w:rsidR="009E1750" w:rsidRPr="00CB1763" w:rsidRDefault="00877C30" w:rsidP="00037E88">
      <w:pPr>
        <w:pStyle w:val="ListParagraph"/>
        <w:numPr>
          <w:ilvl w:val="0"/>
          <w:numId w:val="2"/>
        </w:numPr>
        <w:autoSpaceDE w:val="0"/>
        <w:autoSpaceDN w:val="0"/>
        <w:adjustRightInd w:val="0"/>
        <w:ind w:left="2160" w:hanging="540"/>
        <w:rPr>
          <w:rFonts w:cs="Arial"/>
          <w:sz w:val="24"/>
          <w:szCs w:val="24"/>
          <w:lang w:val="fr-CA"/>
        </w:rPr>
      </w:pPr>
      <w:r w:rsidRPr="00CB1763">
        <w:rPr>
          <w:rFonts w:cs="Arial"/>
          <w:sz w:val="24"/>
          <w:szCs w:val="24"/>
          <w:lang w:val="fr-CA"/>
        </w:rPr>
        <w:t>L’athlète a la responsabilité d’informer le préposé à la classification de toute allergie à un médicament ou autre substance</w:t>
      </w:r>
      <w:r w:rsidR="009E1750" w:rsidRPr="00CB1763">
        <w:rPr>
          <w:rFonts w:cs="Arial"/>
          <w:sz w:val="24"/>
          <w:szCs w:val="24"/>
          <w:lang w:val="fr-CA"/>
        </w:rPr>
        <w:t xml:space="preserve"> </w:t>
      </w:r>
      <w:r w:rsidRPr="00CB1763">
        <w:rPr>
          <w:rFonts w:cs="Arial"/>
          <w:sz w:val="24"/>
          <w:szCs w:val="24"/>
          <w:lang w:val="fr-CA"/>
        </w:rPr>
        <w:t>avant le début du processus de classification.</w:t>
      </w:r>
      <w:r w:rsidR="009E1750" w:rsidRPr="00CB1763">
        <w:rPr>
          <w:rFonts w:cs="Arial"/>
          <w:sz w:val="24"/>
          <w:szCs w:val="24"/>
          <w:lang w:val="fr-CA"/>
        </w:rPr>
        <w:t xml:space="preserve"> </w:t>
      </w:r>
      <w:r w:rsidR="00260A27" w:rsidRPr="00CB1763">
        <w:rPr>
          <w:rFonts w:cs="Arial"/>
          <w:sz w:val="24"/>
          <w:szCs w:val="24"/>
          <w:lang w:val="fr-CA"/>
        </w:rPr>
        <w:t xml:space="preserve">Cela peut se faire dans l’un des documents médicaux transmis au préalable par le médecin traitant de l’athlète. </w:t>
      </w:r>
      <w:r w:rsidR="0000281D" w:rsidRPr="00CB1763">
        <w:rPr>
          <w:rFonts w:cs="Arial"/>
          <w:sz w:val="24"/>
          <w:szCs w:val="24"/>
          <w:lang w:val="fr-CA"/>
        </w:rPr>
        <w:t>En cas d’allergie, le responsable de la classification doit offrir à l’athlète une solution de rechange acceptable pour que le processus de classification</w:t>
      </w:r>
      <w:r w:rsidR="009E1750" w:rsidRPr="00CB1763">
        <w:rPr>
          <w:rFonts w:cs="Arial"/>
          <w:sz w:val="24"/>
          <w:szCs w:val="24"/>
          <w:lang w:val="fr-CA"/>
        </w:rPr>
        <w:t xml:space="preserve"> </w:t>
      </w:r>
      <w:r w:rsidR="0000281D" w:rsidRPr="00CB1763">
        <w:rPr>
          <w:rFonts w:cs="Arial"/>
          <w:sz w:val="24"/>
          <w:szCs w:val="24"/>
          <w:lang w:val="fr-CA"/>
        </w:rPr>
        <w:t>se poursuive.</w:t>
      </w:r>
    </w:p>
    <w:p w:rsidR="009E1750" w:rsidRPr="00CB1763" w:rsidRDefault="009E1750" w:rsidP="009E1750">
      <w:pPr>
        <w:autoSpaceDE w:val="0"/>
        <w:autoSpaceDN w:val="0"/>
        <w:adjustRightInd w:val="0"/>
        <w:rPr>
          <w:rFonts w:ascii="Arial" w:hAnsi="Arial" w:cs="Arial"/>
          <w:sz w:val="24"/>
          <w:szCs w:val="24"/>
          <w:lang w:val="fr-CA"/>
        </w:rPr>
      </w:pPr>
    </w:p>
    <w:p w:rsidR="003B5899" w:rsidRPr="00CB1763" w:rsidRDefault="00E035E2" w:rsidP="00037E88">
      <w:pPr>
        <w:pStyle w:val="ListParagraph"/>
        <w:numPr>
          <w:ilvl w:val="0"/>
          <w:numId w:val="8"/>
        </w:numPr>
        <w:autoSpaceDE w:val="0"/>
        <w:autoSpaceDN w:val="0"/>
        <w:adjustRightInd w:val="0"/>
        <w:ind w:left="360"/>
        <w:rPr>
          <w:rFonts w:cs="Arial"/>
          <w:sz w:val="24"/>
          <w:szCs w:val="24"/>
          <w:lang w:val="fr-CA"/>
        </w:rPr>
      </w:pPr>
      <w:r w:rsidRPr="00CB1763">
        <w:rPr>
          <w:rFonts w:cs="Arial"/>
          <w:sz w:val="24"/>
          <w:szCs w:val="24"/>
          <w:lang w:val="fr-CA"/>
        </w:rPr>
        <w:t>Il arrive aussi qu’un athlète refuse obstinément de se conformer au processus en invoquant un motif invalide, et</w:t>
      </w:r>
      <w:r w:rsidR="00DE2F6B">
        <w:rPr>
          <w:rFonts w:cs="Arial"/>
          <w:sz w:val="24"/>
          <w:szCs w:val="24"/>
          <w:lang w:val="fr-CA"/>
        </w:rPr>
        <w:t>,</w:t>
      </w:r>
      <w:r w:rsidRPr="00CB1763">
        <w:rPr>
          <w:rFonts w:cs="Arial"/>
          <w:sz w:val="24"/>
          <w:szCs w:val="24"/>
          <w:lang w:val="fr-CA"/>
        </w:rPr>
        <w:t xml:space="preserve"> dans un tel cas, il est essentiel de</w:t>
      </w:r>
      <w:r w:rsidR="00875BA1" w:rsidRPr="00CB1763">
        <w:rPr>
          <w:rFonts w:cs="Arial"/>
          <w:sz w:val="24"/>
          <w:szCs w:val="24"/>
          <w:lang w:val="fr-CA"/>
        </w:rPr>
        <w:t xml:space="preserve"> réagir de façon plus musclée</w:t>
      </w:r>
      <w:r w:rsidRPr="00CB1763">
        <w:rPr>
          <w:rFonts w:cs="Arial"/>
          <w:sz w:val="24"/>
          <w:szCs w:val="24"/>
          <w:lang w:val="fr-CA"/>
        </w:rPr>
        <w:t>. Le Code devrait en tenir compte</w:t>
      </w:r>
      <w:r w:rsidR="00875BA1" w:rsidRPr="00CB1763">
        <w:rPr>
          <w:rFonts w:cs="Arial"/>
          <w:sz w:val="24"/>
          <w:szCs w:val="24"/>
          <w:lang w:val="fr-CA"/>
        </w:rPr>
        <w:t>.</w:t>
      </w:r>
      <w:r w:rsidR="003B5899" w:rsidRPr="00CB1763">
        <w:rPr>
          <w:rFonts w:cs="Arial"/>
          <w:sz w:val="24"/>
          <w:szCs w:val="24"/>
          <w:lang w:val="fr-CA"/>
        </w:rPr>
        <w:t xml:space="preserve"> </w:t>
      </w:r>
      <w:r w:rsidRPr="00CB1763">
        <w:rPr>
          <w:rFonts w:cs="Arial"/>
          <w:sz w:val="24"/>
          <w:szCs w:val="24"/>
          <w:lang w:val="fr-CA"/>
        </w:rPr>
        <w:t>Si tel est le cas, il est tout à fait raisonnable de considérer l’athlète comme étant non coopératif</w:t>
      </w:r>
      <w:r w:rsidR="00875BA1" w:rsidRPr="00CB1763">
        <w:rPr>
          <w:rFonts w:cs="Arial"/>
          <w:sz w:val="24"/>
          <w:szCs w:val="24"/>
          <w:lang w:val="fr-CA"/>
        </w:rPr>
        <w:t xml:space="preserve">. </w:t>
      </w:r>
      <w:r w:rsidRPr="00CB1763">
        <w:rPr>
          <w:rFonts w:cs="Arial"/>
          <w:sz w:val="24"/>
          <w:szCs w:val="24"/>
          <w:lang w:val="fr-CA"/>
        </w:rPr>
        <w:t>Par contre, s’il faut avoir recours à une procédure invasive,</w:t>
      </w:r>
      <w:r w:rsidR="003B5899" w:rsidRPr="00CB1763">
        <w:rPr>
          <w:rFonts w:cs="Arial"/>
          <w:sz w:val="24"/>
          <w:szCs w:val="24"/>
          <w:lang w:val="fr-CA"/>
        </w:rPr>
        <w:t xml:space="preserve"> </w:t>
      </w:r>
      <w:r w:rsidRPr="00CB1763">
        <w:rPr>
          <w:rFonts w:cs="Arial"/>
          <w:sz w:val="24"/>
          <w:szCs w:val="24"/>
          <w:lang w:val="fr-CA"/>
        </w:rPr>
        <w:t>l’athlè</w:t>
      </w:r>
      <w:r w:rsidR="003B5899" w:rsidRPr="00CB1763">
        <w:rPr>
          <w:rFonts w:cs="Arial"/>
          <w:sz w:val="24"/>
          <w:szCs w:val="24"/>
          <w:lang w:val="fr-CA"/>
        </w:rPr>
        <w:t xml:space="preserve">te </w:t>
      </w:r>
      <w:r w:rsidRPr="00CB1763">
        <w:rPr>
          <w:rFonts w:cs="Arial"/>
          <w:sz w:val="24"/>
          <w:szCs w:val="24"/>
          <w:lang w:val="fr-CA"/>
        </w:rPr>
        <w:t xml:space="preserve">sera jugé non coopératif uniquement s’il existe d’autres moyens de procéder à la classification, sans provoquer d’allergie et sans compromettre l’athlète </w:t>
      </w:r>
      <w:r w:rsidR="00F73B5D" w:rsidRPr="00CB1763">
        <w:rPr>
          <w:rFonts w:cs="Arial"/>
          <w:sz w:val="24"/>
          <w:szCs w:val="24"/>
          <w:lang w:val="fr-CA"/>
        </w:rPr>
        <w:t>par rapport au code de l’AMA, et que l’athlète refuse toujours de se conformer, ce qui est déraisonnable de l’avis du jury</w:t>
      </w:r>
      <w:r w:rsidR="00875BA1" w:rsidRPr="00CB1763">
        <w:rPr>
          <w:rFonts w:cs="Arial"/>
          <w:sz w:val="24"/>
          <w:szCs w:val="24"/>
          <w:lang w:val="fr-CA"/>
        </w:rPr>
        <w:t>.</w:t>
      </w:r>
      <w:r w:rsidR="003B5899" w:rsidRPr="00CB1763">
        <w:rPr>
          <w:rFonts w:cs="Arial"/>
          <w:sz w:val="24"/>
          <w:szCs w:val="24"/>
          <w:lang w:val="fr-CA"/>
        </w:rPr>
        <w:t xml:space="preserve"> </w:t>
      </w:r>
      <w:r w:rsidR="00131855" w:rsidRPr="00CB1763">
        <w:rPr>
          <w:rFonts w:cs="Arial"/>
          <w:sz w:val="24"/>
          <w:szCs w:val="24"/>
          <w:lang w:val="fr-CA"/>
        </w:rPr>
        <w:t>Dans un tel cas, un comportement déraisonnable se définit par rapport à la réaction d’un patient ordinaire obligé de se soumettre à la même procédure que l’athlète</w:t>
      </w:r>
      <w:r w:rsidR="003B5899" w:rsidRPr="00CB1763">
        <w:rPr>
          <w:rFonts w:cs="Arial"/>
          <w:sz w:val="24"/>
          <w:szCs w:val="24"/>
          <w:lang w:val="fr-CA"/>
        </w:rPr>
        <w:t>.</w:t>
      </w:r>
    </w:p>
    <w:p w:rsidR="003B5899" w:rsidRPr="00CB1763" w:rsidRDefault="001C0077" w:rsidP="00037E88">
      <w:pPr>
        <w:pStyle w:val="Heading2"/>
        <w:numPr>
          <w:ilvl w:val="0"/>
          <w:numId w:val="11"/>
        </w:numPr>
        <w:rPr>
          <w:lang w:val="fr-CA"/>
        </w:rPr>
      </w:pPr>
      <w:bookmarkStart w:id="9" w:name="_Toc368318341"/>
      <w:r w:rsidRPr="00CB1763">
        <w:rPr>
          <w:lang w:val="fr-CA"/>
        </w:rPr>
        <w:t>Fausse déclaration sciemment fai</w:t>
      </w:r>
      <w:r w:rsidR="00270631" w:rsidRPr="00CB1763">
        <w:rPr>
          <w:lang w:val="fr-CA"/>
        </w:rPr>
        <w:t>te</w:t>
      </w:r>
      <w:r w:rsidR="00AF1744" w:rsidRPr="00CB1763">
        <w:rPr>
          <w:lang w:val="fr-CA"/>
        </w:rPr>
        <w:t xml:space="preserve"> </w:t>
      </w:r>
      <w:r w:rsidR="00270631" w:rsidRPr="00CB1763">
        <w:rPr>
          <w:lang w:val="fr-CA"/>
        </w:rPr>
        <w:t>sur les compétences et/ou les habiletés</w:t>
      </w:r>
      <w:r w:rsidR="00E11A46" w:rsidRPr="00CB1763">
        <w:rPr>
          <w:lang w:val="fr-CA"/>
        </w:rPr>
        <w:t xml:space="preserve"> (S</w:t>
      </w:r>
      <w:r w:rsidR="00AF1744" w:rsidRPr="00CB1763">
        <w:rPr>
          <w:lang w:val="fr-CA"/>
        </w:rPr>
        <w:t>ection 11</w:t>
      </w:r>
      <w:r w:rsidR="00E11A46" w:rsidRPr="00CB1763">
        <w:rPr>
          <w:lang w:val="fr-CA"/>
        </w:rPr>
        <w:t xml:space="preserve"> du Code</w:t>
      </w:r>
      <w:r w:rsidR="00AF1744" w:rsidRPr="00CB1763">
        <w:rPr>
          <w:lang w:val="fr-CA"/>
        </w:rPr>
        <w:t>)</w:t>
      </w:r>
      <w:bookmarkEnd w:id="9"/>
    </w:p>
    <w:p w:rsidR="00037E88" w:rsidRPr="00CB1763" w:rsidRDefault="00037E88" w:rsidP="00037E88">
      <w:pPr>
        <w:pStyle w:val="ListParagraph"/>
        <w:autoSpaceDE w:val="0"/>
        <w:autoSpaceDN w:val="0"/>
        <w:adjustRightInd w:val="0"/>
        <w:ind w:left="360"/>
        <w:rPr>
          <w:rFonts w:cs="Arial"/>
          <w:sz w:val="24"/>
          <w:szCs w:val="24"/>
          <w:lang w:val="fr-CA"/>
        </w:rPr>
      </w:pPr>
    </w:p>
    <w:p w:rsidR="009E1750" w:rsidRPr="00CB1763" w:rsidRDefault="00B41AAE" w:rsidP="00037E88">
      <w:pPr>
        <w:pStyle w:val="ListParagraph"/>
        <w:numPr>
          <w:ilvl w:val="0"/>
          <w:numId w:val="8"/>
        </w:numPr>
        <w:autoSpaceDE w:val="0"/>
        <w:autoSpaceDN w:val="0"/>
        <w:adjustRightInd w:val="0"/>
        <w:ind w:left="360"/>
        <w:rPr>
          <w:rFonts w:cs="Arial"/>
          <w:sz w:val="24"/>
          <w:szCs w:val="24"/>
          <w:lang w:val="fr-CA"/>
        </w:rPr>
      </w:pPr>
      <w:r w:rsidRPr="00CB1763">
        <w:rPr>
          <w:rFonts w:cs="Arial"/>
          <w:sz w:val="24"/>
          <w:szCs w:val="24"/>
          <w:lang w:val="fr-CA"/>
        </w:rPr>
        <w:t>Ces dispositions doivent stipuler qu’il appartient exclusivement au responsable de la classification d’établir</w:t>
      </w:r>
      <w:r w:rsidR="00DE2F6B">
        <w:rPr>
          <w:rFonts w:cs="Arial"/>
          <w:sz w:val="24"/>
          <w:szCs w:val="24"/>
          <w:lang w:val="fr-CA"/>
        </w:rPr>
        <w:t xml:space="preserve"> qu’un athlète a sciemment fait</w:t>
      </w:r>
      <w:r w:rsidRPr="00CB1763">
        <w:rPr>
          <w:rFonts w:cs="Arial"/>
          <w:sz w:val="24"/>
          <w:szCs w:val="24"/>
          <w:lang w:val="fr-CA"/>
        </w:rPr>
        <w:t xml:space="preserve"> une fausse déclaration en ce </w:t>
      </w:r>
      <w:r w:rsidRPr="00CB1763">
        <w:rPr>
          <w:rFonts w:cs="Arial"/>
          <w:sz w:val="24"/>
          <w:szCs w:val="24"/>
          <w:lang w:val="fr-CA"/>
        </w:rPr>
        <w:lastRenderedPageBreak/>
        <w:t>qui concerne ses compétences ou ses habiletés.</w:t>
      </w:r>
      <w:r w:rsidR="003B5899" w:rsidRPr="00CB1763">
        <w:rPr>
          <w:rFonts w:cs="Arial"/>
          <w:sz w:val="24"/>
          <w:szCs w:val="24"/>
          <w:lang w:val="fr-CA"/>
        </w:rPr>
        <w:t xml:space="preserve"> </w:t>
      </w:r>
      <w:r w:rsidRPr="00CB1763">
        <w:rPr>
          <w:rFonts w:cs="Arial"/>
          <w:sz w:val="24"/>
          <w:szCs w:val="24"/>
          <w:lang w:val="fr-CA"/>
        </w:rPr>
        <w:t>La norme de preuve repose sur la prépondérance des probabilités.</w:t>
      </w:r>
      <w:r w:rsidR="003B5899" w:rsidRPr="00CB1763">
        <w:rPr>
          <w:rFonts w:cs="Arial"/>
          <w:sz w:val="24"/>
          <w:szCs w:val="24"/>
          <w:lang w:val="fr-CA"/>
        </w:rPr>
        <w:t xml:space="preserve"> </w:t>
      </w:r>
      <w:r w:rsidR="00AA5420" w:rsidRPr="00CB1763">
        <w:rPr>
          <w:rFonts w:cs="Arial"/>
          <w:sz w:val="24"/>
          <w:szCs w:val="24"/>
          <w:lang w:val="fr-CA"/>
        </w:rPr>
        <w:t>Ces deux exigences doivent être ajoutées à la présente section pour protéger à la fois les athlètes et les responsables de la classification</w:t>
      </w:r>
      <w:r w:rsidR="003B5899" w:rsidRPr="00CB1763">
        <w:rPr>
          <w:rFonts w:cs="Arial"/>
          <w:sz w:val="24"/>
          <w:szCs w:val="24"/>
          <w:lang w:val="fr-CA"/>
        </w:rPr>
        <w:t>.</w:t>
      </w:r>
    </w:p>
    <w:p w:rsidR="00FF4CC3" w:rsidRPr="00CB1763" w:rsidRDefault="00FF4CC3" w:rsidP="00FF4CC3">
      <w:pPr>
        <w:pStyle w:val="ListParagraph"/>
        <w:autoSpaceDE w:val="0"/>
        <w:autoSpaceDN w:val="0"/>
        <w:adjustRightInd w:val="0"/>
        <w:ind w:left="360"/>
        <w:rPr>
          <w:rFonts w:cs="Arial"/>
          <w:sz w:val="24"/>
          <w:szCs w:val="24"/>
          <w:lang w:val="fr-CA"/>
        </w:rPr>
      </w:pPr>
    </w:p>
    <w:p w:rsidR="003B5899" w:rsidRPr="00CB1763" w:rsidRDefault="00AA5420" w:rsidP="00037E88">
      <w:pPr>
        <w:pStyle w:val="ListParagraph"/>
        <w:numPr>
          <w:ilvl w:val="0"/>
          <w:numId w:val="8"/>
        </w:numPr>
        <w:autoSpaceDE w:val="0"/>
        <w:autoSpaceDN w:val="0"/>
        <w:adjustRightInd w:val="0"/>
        <w:ind w:left="360"/>
        <w:rPr>
          <w:rFonts w:cs="Arial"/>
          <w:sz w:val="24"/>
          <w:szCs w:val="24"/>
          <w:lang w:val="fr-CA"/>
        </w:rPr>
      </w:pPr>
      <w:r w:rsidRPr="00CB1763">
        <w:rPr>
          <w:rFonts w:cs="Arial"/>
          <w:sz w:val="24"/>
          <w:szCs w:val="24"/>
          <w:lang w:val="fr-CA"/>
        </w:rPr>
        <w:t>Advenant qu’un responsable de la classification mette au jour une fausse déclaration sciemment faite</w:t>
      </w:r>
      <w:r w:rsidR="003B5899" w:rsidRPr="00CB1763">
        <w:rPr>
          <w:rFonts w:cs="Arial"/>
          <w:sz w:val="24"/>
          <w:szCs w:val="24"/>
          <w:lang w:val="fr-CA"/>
        </w:rPr>
        <w:t xml:space="preserve">, </w:t>
      </w:r>
      <w:r w:rsidRPr="00CB1763">
        <w:rPr>
          <w:rFonts w:cs="Arial"/>
          <w:sz w:val="24"/>
          <w:szCs w:val="24"/>
          <w:lang w:val="fr-CA"/>
        </w:rPr>
        <w:t>une audience sera convoquée devant le chef de la classification pour s’assurer que</w:t>
      </w:r>
      <w:r w:rsidR="003B5899" w:rsidRPr="00CB1763">
        <w:rPr>
          <w:rFonts w:cs="Arial"/>
          <w:sz w:val="24"/>
          <w:szCs w:val="24"/>
          <w:lang w:val="fr-CA"/>
        </w:rPr>
        <w:t xml:space="preserve"> </w:t>
      </w:r>
      <w:r w:rsidRPr="00CB1763">
        <w:rPr>
          <w:rFonts w:cs="Arial"/>
          <w:sz w:val="24"/>
          <w:szCs w:val="24"/>
          <w:lang w:val="fr-CA"/>
        </w:rPr>
        <w:t xml:space="preserve">toute l’information pertinente a été prise en considération et que l’athlète aura la possibilité de contester la décision </w:t>
      </w:r>
      <w:r w:rsidR="005413C3" w:rsidRPr="00CB1763">
        <w:rPr>
          <w:rFonts w:cs="Arial"/>
          <w:sz w:val="24"/>
          <w:szCs w:val="24"/>
          <w:lang w:val="fr-CA"/>
        </w:rPr>
        <w:t>devant un arbitre impartial bien au fait du processus de</w:t>
      </w:r>
      <w:r w:rsidR="003B5899" w:rsidRPr="00CB1763">
        <w:rPr>
          <w:rFonts w:cs="Arial"/>
          <w:sz w:val="24"/>
          <w:szCs w:val="24"/>
          <w:lang w:val="fr-CA"/>
        </w:rPr>
        <w:t xml:space="preserve"> </w:t>
      </w:r>
      <w:r w:rsidR="005413C3" w:rsidRPr="00CB1763">
        <w:rPr>
          <w:rFonts w:cs="Arial"/>
          <w:sz w:val="24"/>
          <w:szCs w:val="24"/>
          <w:lang w:val="fr-CA"/>
        </w:rPr>
        <w:t>classification</w:t>
      </w:r>
      <w:r w:rsidRPr="00CB1763">
        <w:rPr>
          <w:rFonts w:cs="Arial"/>
          <w:sz w:val="24"/>
          <w:szCs w:val="24"/>
          <w:lang w:val="fr-CA"/>
        </w:rPr>
        <w:t>.</w:t>
      </w:r>
      <w:r w:rsidR="003B5899" w:rsidRPr="00CB1763">
        <w:rPr>
          <w:rFonts w:cs="Arial"/>
          <w:sz w:val="24"/>
          <w:szCs w:val="24"/>
          <w:lang w:val="fr-CA"/>
        </w:rPr>
        <w:t xml:space="preserve"> </w:t>
      </w:r>
      <w:r w:rsidR="00445493" w:rsidRPr="00CB1763">
        <w:rPr>
          <w:rFonts w:cs="Arial"/>
          <w:sz w:val="24"/>
          <w:szCs w:val="24"/>
          <w:lang w:val="fr-CA"/>
        </w:rPr>
        <w:t>La possibilité d’interjeter appel ou de déposer un protêt existe également, conformément aux normes sur les protêts et appels</w:t>
      </w:r>
      <w:r w:rsidRPr="00CB1763">
        <w:rPr>
          <w:rFonts w:cs="Arial"/>
          <w:sz w:val="24"/>
          <w:szCs w:val="24"/>
          <w:lang w:val="fr-CA"/>
        </w:rPr>
        <w:t>.</w:t>
      </w:r>
    </w:p>
    <w:p w:rsidR="00FF4CC3" w:rsidRPr="00CB1763" w:rsidRDefault="00FF4CC3" w:rsidP="00FF4CC3">
      <w:pPr>
        <w:pStyle w:val="ListParagraph"/>
        <w:autoSpaceDE w:val="0"/>
        <w:autoSpaceDN w:val="0"/>
        <w:adjustRightInd w:val="0"/>
        <w:ind w:left="360"/>
        <w:rPr>
          <w:rFonts w:cs="Arial"/>
          <w:sz w:val="24"/>
          <w:szCs w:val="24"/>
          <w:lang w:val="fr-CA"/>
        </w:rPr>
      </w:pPr>
    </w:p>
    <w:p w:rsidR="009E1750" w:rsidRPr="00CB1763" w:rsidRDefault="000653E1" w:rsidP="00037E88">
      <w:pPr>
        <w:pStyle w:val="ListParagraph"/>
        <w:numPr>
          <w:ilvl w:val="0"/>
          <w:numId w:val="8"/>
        </w:numPr>
        <w:autoSpaceDE w:val="0"/>
        <w:autoSpaceDN w:val="0"/>
        <w:adjustRightInd w:val="0"/>
        <w:ind w:left="360"/>
        <w:rPr>
          <w:rFonts w:cs="Arial"/>
          <w:sz w:val="24"/>
          <w:szCs w:val="24"/>
          <w:lang w:val="fr-CA"/>
        </w:rPr>
      </w:pPr>
      <w:r w:rsidRPr="00CB1763">
        <w:rPr>
          <w:rFonts w:cs="Arial"/>
          <w:sz w:val="24"/>
          <w:szCs w:val="24"/>
          <w:lang w:val="fr-CA"/>
        </w:rPr>
        <w:t xml:space="preserve">La </w:t>
      </w:r>
      <w:r w:rsidR="003B5899" w:rsidRPr="00CB1763">
        <w:rPr>
          <w:rFonts w:cs="Arial"/>
          <w:sz w:val="24"/>
          <w:szCs w:val="24"/>
          <w:lang w:val="fr-CA"/>
        </w:rPr>
        <w:t xml:space="preserve">Section 11.4 </w:t>
      </w:r>
      <w:r w:rsidRPr="00CB1763">
        <w:rPr>
          <w:rFonts w:cs="Arial"/>
          <w:sz w:val="24"/>
          <w:szCs w:val="24"/>
          <w:lang w:val="fr-CA"/>
        </w:rPr>
        <w:t xml:space="preserve">doit être resserrée, de manière à débouter un athlète </w:t>
      </w:r>
      <w:r w:rsidR="00CA6D3C" w:rsidRPr="00CB1763">
        <w:rPr>
          <w:rFonts w:cs="Arial"/>
          <w:sz w:val="24"/>
          <w:szCs w:val="24"/>
          <w:lang w:val="fr-CA"/>
        </w:rPr>
        <w:t xml:space="preserve">jugé </w:t>
      </w:r>
      <w:r w:rsidR="002B60E3">
        <w:rPr>
          <w:rFonts w:cs="Arial"/>
          <w:sz w:val="24"/>
          <w:szCs w:val="24"/>
          <w:lang w:val="fr-CA"/>
        </w:rPr>
        <w:t>coupable d’avoir sciemment fait</w:t>
      </w:r>
      <w:r w:rsidR="00CA6D3C" w:rsidRPr="00CB1763">
        <w:rPr>
          <w:rFonts w:cs="Arial"/>
          <w:sz w:val="24"/>
          <w:szCs w:val="24"/>
          <w:lang w:val="fr-CA"/>
        </w:rPr>
        <w:t xml:space="preserve"> une fausse déclaration sur ses compétences ou ses habiletés, et à permettre aux FI de refuser de le classer pour une période de deux ans.</w:t>
      </w:r>
      <w:r w:rsidR="003B5899" w:rsidRPr="00CB1763">
        <w:rPr>
          <w:rFonts w:cs="Arial"/>
          <w:sz w:val="24"/>
          <w:szCs w:val="24"/>
          <w:lang w:val="fr-CA"/>
        </w:rPr>
        <w:t xml:space="preserve"> </w:t>
      </w:r>
      <w:r w:rsidRPr="00CB1763">
        <w:rPr>
          <w:rFonts w:cs="Arial"/>
          <w:sz w:val="24"/>
          <w:szCs w:val="24"/>
          <w:lang w:val="fr-CA"/>
        </w:rPr>
        <w:t>Sinon, un athlè</w:t>
      </w:r>
      <w:r w:rsidR="003B5899" w:rsidRPr="00CB1763">
        <w:rPr>
          <w:rFonts w:cs="Arial"/>
          <w:sz w:val="24"/>
          <w:szCs w:val="24"/>
          <w:lang w:val="fr-CA"/>
        </w:rPr>
        <w:t xml:space="preserve">te </w:t>
      </w:r>
      <w:r w:rsidRPr="00CB1763">
        <w:rPr>
          <w:rFonts w:cs="Arial"/>
          <w:sz w:val="24"/>
          <w:szCs w:val="24"/>
          <w:lang w:val="fr-CA"/>
        </w:rPr>
        <w:t xml:space="preserve">déclaré </w:t>
      </w:r>
      <w:r w:rsidR="002B60E3">
        <w:rPr>
          <w:rFonts w:cs="Arial"/>
          <w:sz w:val="24"/>
          <w:szCs w:val="24"/>
          <w:lang w:val="fr-CA"/>
        </w:rPr>
        <w:t>coupable d’avoir sciemment fait</w:t>
      </w:r>
      <w:r w:rsidRPr="00CB1763">
        <w:rPr>
          <w:rFonts w:cs="Arial"/>
          <w:sz w:val="24"/>
          <w:szCs w:val="24"/>
          <w:lang w:val="fr-CA"/>
        </w:rPr>
        <w:t xml:space="preserve"> une fausse déclaration </w:t>
      </w:r>
      <w:r w:rsidR="00CA6D3C" w:rsidRPr="00CB1763">
        <w:rPr>
          <w:rFonts w:cs="Arial"/>
          <w:sz w:val="24"/>
          <w:szCs w:val="24"/>
          <w:lang w:val="fr-CA"/>
        </w:rPr>
        <w:t>pourra simplement s’inscrire dans un autre sport, évitant ainsi de subir les conséquences mentionnées plus haut</w:t>
      </w:r>
      <w:r w:rsidR="003B5899" w:rsidRPr="00CB1763">
        <w:rPr>
          <w:rFonts w:cs="Arial"/>
          <w:sz w:val="24"/>
          <w:szCs w:val="24"/>
          <w:lang w:val="fr-CA"/>
        </w:rPr>
        <w:t>.</w:t>
      </w:r>
      <w:r w:rsidR="00F85BA6" w:rsidRPr="00CB1763">
        <w:rPr>
          <w:rFonts w:cs="Arial"/>
          <w:sz w:val="24"/>
          <w:szCs w:val="24"/>
          <w:lang w:val="fr-CA"/>
        </w:rPr>
        <w:t xml:space="preserve"> </w:t>
      </w:r>
      <w:r w:rsidR="00CA6D3C" w:rsidRPr="00CB1763">
        <w:rPr>
          <w:rFonts w:cs="Arial"/>
          <w:sz w:val="24"/>
          <w:szCs w:val="24"/>
          <w:lang w:val="fr-CA"/>
        </w:rPr>
        <w:t>Une interdiction à vie devrait être imposée par toutes les FI</w:t>
      </w:r>
      <w:r w:rsidR="00F85BA6" w:rsidRPr="00CB1763">
        <w:rPr>
          <w:rFonts w:cs="Arial"/>
          <w:sz w:val="24"/>
          <w:szCs w:val="24"/>
          <w:lang w:val="fr-CA"/>
        </w:rPr>
        <w:t xml:space="preserve"> </w:t>
      </w:r>
      <w:r w:rsidR="00CA6D3C" w:rsidRPr="00CB1763">
        <w:rPr>
          <w:rFonts w:cs="Arial"/>
          <w:sz w:val="24"/>
          <w:szCs w:val="24"/>
          <w:lang w:val="fr-CA"/>
        </w:rPr>
        <w:t>à un athlète déclaré coupable de ce type d’infraction une deuxième fois</w:t>
      </w:r>
      <w:r w:rsidR="00AA1B9C" w:rsidRPr="00CB1763">
        <w:rPr>
          <w:rFonts w:cs="Arial"/>
          <w:sz w:val="24"/>
          <w:szCs w:val="24"/>
          <w:lang w:val="fr-CA"/>
        </w:rPr>
        <w:t>.</w:t>
      </w:r>
    </w:p>
    <w:p w:rsidR="003B5899" w:rsidRPr="00CB1763" w:rsidRDefault="004839BE" w:rsidP="00037E88">
      <w:pPr>
        <w:pStyle w:val="Heading2"/>
        <w:numPr>
          <w:ilvl w:val="0"/>
          <w:numId w:val="11"/>
        </w:numPr>
        <w:rPr>
          <w:lang w:val="fr-CA"/>
        </w:rPr>
      </w:pPr>
      <w:bookmarkStart w:id="10" w:name="_Toc368318342"/>
      <w:r w:rsidRPr="00CB1763">
        <w:rPr>
          <w:lang w:val="fr-CA"/>
        </w:rPr>
        <w:t>Personnel</w:t>
      </w:r>
      <w:r w:rsidR="00270631" w:rsidRPr="00CB1763">
        <w:rPr>
          <w:lang w:val="fr-CA"/>
        </w:rPr>
        <w:t xml:space="preserve"> de soutien</w:t>
      </w:r>
      <w:r w:rsidRPr="00CB1763">
        <w:rPr>
          <w:lang w:val="fr-CA"/>
        </w:rPr>
        <w:t xml:space="preserve"> (</w:t>
      </w:r>
      <w:r w:rsidR="00AF1744" w:rsidRPr="00CB1763">
        <w:rPr>
          <w:lang w:val="fr-CA"/>
        </w:rPr>
        <w:t>Section 12</w:t>
      </w:r>
      <w:r w:rsidRPr="00CB1763">
        <w:rPr>
          <w:lang w:val="fr-CA"/>
        </w:rPr>
        <w:t xml:space="preserve"> du Code</w:t>
      </w:r>
      <w:r w:rsidR="00AF1744" w:rsidRPr="00CB1763">
        <w:rPr>
          <w:lang w:val="fr-CA"/>
        </w:rPr>
        <w:t>)</w:t>
      </w:r>
      <w:bookmarkEnd w:id="10"/>
    </w:p>
    <w:p w:rsidR="00037E88" w:rsidRPr="00CB1763" w:rsidRDefault="00037E88" w:rsidP="00037E88">
      <w:pPr>
        <w:pStyle w:val="ListParagraph"/>
        <w:autoSpaceDE w:val="0"/>
        <w:autoSpaceDN w:val="0"/>
        <w:adjustRightInd w:val="0"/>
        <w:ind w:left="360"/>
        <w:rPr>
          <w:rFonts w:cs="Arial"/>
          <w:sz w:val="24"/>
          <w:szCs w:val="24"/>
          <w:lang w:val="fr-CA"/>
        </w:rPr>
      </w:pPr>
    </w:p>
    <w:p w:rsidR="00F85BA6" w:rsidRPr="00CB1763" w:rsidRDefault="0074017E" w:rsidP="00037E88">
      <w:pPr>
        <w:pStyle w:val="ListParagraph"/>
        <w:numPr>
          <w:ilvl w:val="0"/>
          <w:numId w:val="8"/>
        </w:numPr>
        <w:autoSpaceDE w:val="0"/>
        <w:autoSpaceDN w:val="0"/>
        <w:adjustRightInd w:val="0"/>
        <w:ind w:left="360"/>
        <w:rPr>
          <w:rFonts w:cs="Arial"/>
          <w:sz w:val="24"/>
          <w:szCs w:val="24"/>
          <w:lang w:val="fr-CA"/>
        </w:rPr>
      </w:pPr>
      <w:r w:rsidRPr="00CB1763">
        <w:rPr>
          <w:rFonts w:cs="Arial"/>
          <w:sz w:val="24"/>
          <w:szCs w:val="24"/>
          <w:lang w:val="fr-CA"/>
        </w:rPr>
        <w:t>Les mêmes pr</w:t>
      </w:r>
      <w:r w:rsidR="00876382" w:rsidRPr="00CB1763">
        <w:rPr>
          <w:rFonts w:cs="Arial"/>
          <w:sz w:val="24"/>
          <w:szCs w:val="24"/>
          <w:lang w:val="fr-CA"/>
        </w:rPr>
        <w:t>é</w:t>
      </w:r>
      <w:r w:rsidRPr="00CB1763">
        <w:rPr>
          <w:rFonts w:cs="Arial"/>
          <w:sz w:val="24"/>
          <w:szCs w:val="24"/>
          <w:lang w:val="fr-CA"/>
        </w:rPr>
        <w:t>sentations faites par l’</w:t>
      </w:r>
      <w:r w:rsidR="00876382" w:rsidRPr="00CB1763">
        <w:rPr>
          <w:rFonts w:cs="Arial"/>
          <w:sz w:val="24"/>
          <w:szCs w:val="24"/>
          <w:lang w:val="fr-CA"/>
        </w:rPr>
        <w:t>ACSA</w:t>
      </w:r>
      <w:r w:rsidR="00F85BA6" w:rsidRPr="00CB1763">
        <w:rPr>
          <w:rFonts w:cs="Arial"/>
          <w:sz w:val="24"/>
          <w:szCs w:val="24"/>
          <w:lang w:val="fr-CA"/>
        </w:rPr>
        <w:t xml:space="preserve"> </w:t>
      </w:r>
      <w:r w:rsidR="00876382" w:rsidRPr="00CB1763">
        <w:rPr>
          <w:rFonts w:cs="Arial"/>
          <w:sz w:val="24"/>
          <w:szCs w:val="24"/>
          <w:lang w:val="fr-CA"/>
        </w:rPr>
        <w:t xml:space="preserve">selon la </w:t>
      </w:r>
      <w:r w:rsidR="00F85BA6" w:rsidRPr="00CB1763">
        <w:rPr>
          <w:rFonts w:cs="Arial"/>
          <w:sz w:val="24"/>
          <w:szCs w:val="24"/>
          <w:lang w:val="fr-CA"/>
        </w:rPr>
        <w:t xml:space="preserve">Section 11 </w:t>
      </w:r>
      <w:r w:rsidR="00876382" w:rsidRPr="00CB1763">
        <w:rPr>
          <w:rFonts w:cs="Arial"/>
          <w:sz w:val="24"/>
          <w:szCs w:val="24"/>
          <w:lang w:val="fr-CA"/>
        </w:rPr>
        <w:t>du</w:t>
      </w:r>
      <w:r w:rsidR="00F85BA6" w:rsidRPr="00CB1763">
        <w:rPr>
          <w:rFonts w:cs="Arial"/>
          <w:sz w:val="24"/>
          <w:szCs w:val="24"/>
          <w:lang w:val="fr-CA"/>
        </w:rPr>
        <w:t xml:space="preserve"> Code </w:t>
      </w:r>
      <w:r w:rsidR="00876382" w:rsidRPr="00CB1763">
        <w:rPr>
          <w:rFonts w:cs="Arial"/>
          <w:sz w:val="24"/>
          <w:szCs w:val="24"/>
          <w:lang w:val="fr-CA"/>
        </w:rPr>
        <w:t>s’appliquent à ces dispositions également</w:t>
      </w:r>
      <w:r w:rsidR="00F85BA6" w:rsidRPr="00CB1763">
        <w:rPr>
          <w:rFonts w:cs="Arial"/>
          <w:sz w:val="24"/>
          <w:szCs w:val="24"/>
          <w:lang w:val="fr-CA"/>
        </w:rPr>
        <w:t>.</w:t>
      </w:r>
    </w:p>
    <w:p w:rsidR="00F85BA6" w:rsidRPr="00CB1763" w:rsidRDefault="00270631" w:rsidP="00037E88">
      <w:pPr>
        <w:pStyle w:val="Heading2"/>
        <w:numPr>
          <w:ilvl w:val="0"/>
          <w:numId w:val="11"/>
        </w:numPr>
        <w:rPr>
          <w:lang w:val="fr-CA"/>
        </w:rPr>
      </w:pPr>
      <w:bookmarkStart w:id="11" w:name="_Toc368318343"/>
      <w:r w:rsidRPr="00CB1763">
        <w:rPr>
          <w:lang w:val="fr-CA"/>
        </w:rPr>
        <w:t>Sanction</w:t>
      </w:r>
      <w:r w:rsidR="004839BE" w:rsidRPr="00CB1763">
        <w:rPr>
          <w:lang w:val="fr-CA"/>
        </w:rPr>
        <w:t>s (</w:t>
      </w:r>
      <w:r w:rsidR="00AF1744" w:rsidRPr="00CB1763">
        <w:rPr>
          <w:lang w:val="fr-CA"/>
        </w:rPr>
        <w:t>Section 13</w:t>
      </w:r>
      <w:r w:rsidR="004839BE" w:rsidRPr="00CB1763">
        <w:rPr>
          <w:lang w:val="fr-CA"/>
        </w:rPr>
        <w:t xml:space="preserve"> du Code</w:t>
      </w:r>
      <w:r w:rsidR="00AF1744" w:rsidRPr="00CB1763">
        <w:rPr>
          <w:lang w:val="fr-CA"/>
        </w:rPr>
        <w:t>)</w:t>
      </w:r>
      <w:bookmarkEnd w:id="11"/>
    </w:p>
    <w:p w:rsidR="00037E88" w:rsidRPr="00CB1763" w:rsidRDefault="00037E88" w:rsidP="00037E88">
      <w:pPr>
        <w:pStyle w:val="ListParagraph"/>
        <w:autoSpaceDE w:val="0"/>
        <w:autoSpaceDN w:val="0"/>
        <w:adjustRightInd w:val="0"/>
        <w:rPr>
          <w:rFonts w:cs="Arial"/>
          <w:sz w:val="24"/>
          <w:szCs w:val="24"/>
          <w:lang w:val="fr-CA"/>
        </w:rPr>
      </w:pPr>
    </w:p>
    <w:p w:rsidR="00037E88" w:rsidRPr="00CB1763" w:rsidRDefault="00876382" w:rsidP="00FF4CC3">
      <w:pPr>
        <w:pStyle w:val="ListParagraph"/>
        <w:numPr>
          <w:ilvl w:val="0"/>
          <w:numId w:val="8"/>
        </w:numPr>
        <w:autoSpaceDE w:val="0"/>
        <w:autoSpaceDN w:val="0"/>
        <w:adjustRightInd w:val="0"/>
        <w:ind w:left="360"/>
        <w:rPr>
          <w:rFonts w:cs="Arial"/>
          <w:sz w:val="24"/>
          <w:szCs w:val="24"/>
          <w:lang w:val="fr-CA"/>
        </w:rPr>
      </w:pPr>
      <w:r w:rsidRPr="00CB1763">
        <w:rPr>
          <w:rFonts w:cs="Arial"/>
          <w:sz w:val="24"/>
          <w:szCs w:val="24"/>
          <w:lang w:val="fr-CA"/>
        </w:rPr>
        <w:t>L’ACSA</w:t>
      </w:r>
      <w:r w:rsidR="00497AD5" w:rsidRPr="00CB1763">
        <w:rPr>
          <w:rFonts w:cs="Arial"/>
          <w:sz w:val="24"/>
          <w:szCs w:val="24"/>
          <w:lang w:val="fr-CA"/>
        </w:rPr>
        <w:t xml:space="preserve"> </w:t>
      </w:r>
      <w:r w:rsidRPr="00CB1763">
        <w:rPr>
          <w:rFonts w:cs="Arial"/>
          <w:sz w:val="24"/>
          <w:szCs w:val="24"/>
          <w:lang w:val="fr-CA"/>
        </w:rPr>
        <w:t>appuie la proposition générale selon laquelle les sanctions imposées aux  athlè</w:t>
      </w:r>
      <w:r w:rsidR="00497AD5" w:rsidRPr="00CB1763">
        <w:rPr>
          <w:rFonts w:cs="Arial"/>
          <w:sz w:val="24"/>
          <w:szCs w:val="24"/>
          <w:lang w:val="fr-CA"/>
        </w:rPr>
        <w:t>tes</w:t>
      </w:r>
      <w:r w:rsidRPr="00CB1763">
        <w:rPr>
          <w:rFonts w:cs="Arial"/>
          <w:sz w:val="24"/>
          <w:szCs w:val="24"/>
          <w:lang w:val="fr-CA"/>
        </w:rPr>
        <w:t xml:space="preserve"> et au personnel de soutien </w:t>
      </w:r>
      <w:r w:rsidR="00F77C59" w:rsidRPr="00CB1763">
        <w:rPr>
          <w:rFonts w:cs="Arial"/>
          <w:sz w:val="24"/>
          <w:szCs w:val="24"/>
          <w:lang w:val="fr-CA"/>
        </w:rPr>
        <w:t xml:space="preserve">doivent être </w:t>
      </w:r>
      <w:r w:rsidR="008479B5" w:rsidRPr="00CB1763">
        <w:rPr>
          <w:rFonts w:cs="Arial"/>
          <w:sz w:val="24"/>
          <w:szCs w:val="24"/>
          <w:lang w:val="fr-CA"/>
        </w:rPr>
        <w:t>divulguées</w:t>
      </w:r>
      <w:r w:rsidRPr="00CB1763">
        <w:rPr>
          <w:rFonts w:cs="Arial"/>
          <w:sz w:val="24"/>
          <w:szCs w:val="24"/>
          <w:lang w:val="fr-CA"/>
        </w:rPr>
        <w:t>.</w:t>
      </w:r>
      <w:r w:rsidR="00497AD5" w:rsidRPr="00CB1763">
        <w:rPr>
          <w:rFonts w:cs="Arial"/>
          <w:sz w:val="24"/>
          <w:szCs w:val="24"/>
          <w:lang w:val="fr-CA"/>
        </w:rPr>
        <w:t xml:space="preserve"> </w:t>
      </w:r>
      <w:r w:rsidR="008479B5" w:rsidRPr="00CB1763">
        <w:rPr>
          <w:rFonts w:cs="Arial"/>
          <w:sz w:val="24"/>
          <w:szCs w:val="24"/>
          <w:lang w:val="fr-CA"/>
        </w:rPr>
        <w:t>Cependant,</w:t>
      </w:r>
      <w:r w:rsidR="00497AD5" w:rsidRPr="00CB1763">
        <w:rPr>
          <w:rFonts w:cs="Arial"/>
          <w:sz w:val="24"/>
          <w:szCs w:val="24"/>
          <w:lang w:val="fr-CA"/>
        </w:rPr>
        <w:t xml:space="preserve"> </w:t>
      </w:r>
      <w:r w:rsidR="008479B5" w:rsidRPr="00CB1763">
        <w:rPr>
          <w:rFonts w:cs="Arial"/>
          <w:sz w:val="24"/>
          <w:szCs w:val="24"/>
          <w:lang w:val="fr-CA"/>
        </w:rPr>
        <w:t>ces divulgations doivent concerner uniquement ceux et celles coupables d’une infraction en vertu des sections 11 et</w:t>
      </w:r>
      <w:r w:rsidR="00497AD5" w:rsidRPr="00CB1763">
        <w:rPr>
          <w:rFonts w:cs="Arial"/>
          <w:sz w:val="24"/>
          <w:szCs w:val="24"/>
          <w:lang w:val="fr-CA"/>
        </w:rPr>
        <w:t xml:space="preserve"> 12 </w:t>
      </w:r>
      <w:r w:rsidR="008479B5" w:rsidRPr="00CB1763">
        <w:rPr>
          <w:rFonts w:cs="Arial"/>
          <w:sz w:val="24"/>
          <w:szCs w:val="24"/>
          <w:lang w:val="fr-CA"/>
        </w:rPr>
        <w:t>du Code.</w:t>
      </w:r>
      <w:r w:rsidR="00497AD5" w:rsidRPr="00CB1763">
        <w:rPr>
          <w:rFonts w:cs="Arial"/>
          <w:sz w:val="24"/>
          <w:szCs w:val="24"/>
          <w:lang w:val="fr-CA"/>
        </w:rPr>
        <w:t xml:space="preserve"> </w:t>
      </w:r>
      <w:r w:rsidR="008479B5" w:rsidRPr="00CB1763">
        <w:rPr>
          <w:rFonts w:cs="Arial"/>
          <w:sz w:val="24"/>
          <w:szCs w:val="24"/>
          <w:lang w:val="fr-CA"/>
        </w:rPr>
        <w:t xml:space="preserve">Un athlète peut avoir </w:t>
      </w:r>
      <w:r w:rsidR="00A4654E" w:rsidRPr="00CB1763">
        <w:rPr>
          <w:rFonts w:cs="Arial"/>
          <w:sz w:val="24"/>
          <w:szCs w:val="24"/>
          <w:lang w:val="fr-CA"/>
        </w:rPr>
        <w:t>une raison valable</w:t>
      </w:r>
      <w:r w:rsidR="008479B5" w:rsidRPr="00CB1763">
        <w:rPr>
          <w:rFonts w:cs="Arial"/>
          <w:sz w:val="24"/>
          <w:szCs w:val="24"/>
          <w:lang w:val="fr-CA"/>
        </w:rPr>
        <w:t xml:space="preserve"> justifiant son refus ou son incapacité de terminer le processus de c</w:t>
      </w:r>
      <w:r w:rsidR="00A4654E" w:rsidRPr="00CB1763">
        <w:rPr>
          <w:rFonts w:cs="Arial"/>
          <w:sz w:val="24"/>
          <w:szCs w:val="24"/>
          <w:lang w:val="fr-CA"/>
        </w:rPr>
        <w:t>lassification et il n’a pas à subir de mesures disciplinaires, publiquement ou en privé, pour cela</w:t>
      </w:r>
      <w:r w:rsidR="005A1771" w:rsidRPr="00CB1763">
        <w:rPr>
          <w:rFonts w:cs="Arial"/>
          <w:sz w:val="24"/>
          <w:szCs w:val="24"/>
          <w:lang w:val="fr-CA"/>
        </w:rPr>
        <w:t>.</w:t>
      </w:r>
    </w:p>
    <w:p w:rsidR="00037E88" w:rsidRPr="00CB1763" w:rsidRDefault="00037E88" w:rsidP="00FF4CC3">
      <w:pPr>
        <w:pStyle w:val="ListParagraph"/>
        <w:autoSpaceDE w:val="0"/>
        <w:autoSpaceDN w:val="0"/>
        <w:adjustRightInd w:val="0"/>
        <w:ind w:left="360" w:hanging="360"/>
        <w:rPr>
          <w:rFonts w:cs="Arial"/>
          <w:sz w:val="24"/>
          <w:szCs w:val="24"/>
          <w:lang w:val="fr-CA"/>
        </w:rPr>
      </w:pPr>
    </w:p>
    <w:p w:rsidR="00497AD5" w:rsidRPr="00CB1763" w:rsidRDefault="00DB1582" w:rsidP="00FF4CC3">
      <w:pPr>
        <w:pStyle w:val="ListParagraph"/>
        <w:numPr>
          <w:ilvl w:val="0"/>
          <w:numId w:val="8"/>
        </w:numPr>
        <w:autoSpaceDE w:val="0"/>
        <w:autoSpaceDN w:val="0"/>
        <w:adjustRightInd w:val="0"/>
        <w:ind w:left="360"/>
        <w:rPr>
          <w:rFonts w:cs="Arial"/>
          <w:sz w:val="24"/>
          <w:szCs w:val="24"/>
          <w:lang w:val="fr-CA"/>
        </w:rPr>
      </w:pPr>
      <w:r w:rsidRPr="00CB1763">
        <w:rPr>
          <w:rFonts w:cs="Arial"/>
          <w:sz w:val="24"/>
          <w:szCs w:val="24"/>
          <w:lang w:val="fr-CA"/>
        </w:rPr>
        <w:t>On doit également déterminer dans quelle mesure cette information doit être divulguée</w:t>
      </w:r>
      <w:r w:rsidR="00136213" w:rsidRPr="00CB1763">
        <w:rPr>
          <w:rFonts w:cs="Arial"/>
          <w:sz w:val="24"/>
          <w:szCs w:val="24"/>
          <w:lang w:val="fr-CA"/>
        </w:rPr>
        <w:t>, quelle doit en être la portée</w:t>
      </w:r>
      <w:r w:rsidRPr="00CB1763">
        <w:rPr>
          <w:rFonts w:cs="Arial"/>
          <w:sz w:val="24"/>
          <w:szCs w:val="24"/>
          <w:lang w:val="fr-CA"/>
        </w:rPr>
        <w:t>.</w:t>
      </w:r>
      <w:r w:rsidR="00497AD5" w:rsidRPr="00CB1763">
        <w:rPr>
          <w:rFonts w:cs="Arial"/>
          <w:sz w:val="24"/>
          <w:szCs w:val="24"/>
          <w:lang w:val="fr-CA"/>
        </w:rPr>
        <w:t xml:space="preserve"> </w:t>
      </w:r>
      <w:r w:rsidR="00136213" w:rsidRPr="00CB1763">
        <w:rPr>
          <w:rFonts w:cs="Arial"/>
          <w:sz w:val="24"/>
          <w:szCs w:val="24"/>
          <w:lang w:val="fr-CA"/>
        </w:rPr>
        <w:t>En effet, être déclaré coupable d’avoir sciemment fait une fausse déclaration ou d’avoir incité quelqu’un à le faire, pour un athlète ou un membre du personnel de soutien, risque d’avoir des conséquences à long terme bien au-delà du milieu du sport.</w:t>
      </w:r>
      <w:r w:rsidR="00497AD5" w:rsidRPr="00CB1763">
        <w:rPr>
          <w:rFonts w:cs="Arial"/>
          <w:sz w:val="24"/>
          <w:szCs w:val="24"/>
          <w:lang w:val="fr-CA"/>
        </w:rPr>
        <w:t xml:space="preserve"> </w:t>
      </w:r>
      <w:r w:rsidR="00BA3816" w:rsidRPr="00CB1763">
        <w:rPr>
          <w:rFonts w:cs="Arial"/>
          <w:sz w:val="24"/>
          <w:szCs w:val="24"/>
          <w:lang w:val="fr-CA"/>
        </w:rPr>
        <w:t>Bien que cette</w:t>
      </w:r>
      <w:r w:rsidR="00D32198" w:rsidRPr="00CB1763">
        <w:rPr>
          <w:rFonts w:cs="Arial"/>
          <w:sz w:val="24"/>
          <w:szCs w:val="24"/>
          <w:lang w:val="fr-CA"/>
        </w:rPr>
        <w:t xml:space="preserve"> information </w:t>
      </w:r>
      <w:r w:rsidR="00BA3816" w:rsidRPr="00CB1763">
        <w:rPr>
          <w:rFonts w:cs="Arial"/>
          <w:sz w:val="24"/>
          <w:szCs w:val="24"/>
          <w:lang w:val="fr-CA"/>
        </w:rPr>
        <w:t xml:space="preserve">puisse </w:t>
      </w:r>
      <w:r w:rsidR="00422E34" w:rsidRPr="00CB1763">
        <w:rPr>
          <w:rFonts w:cs="Arial"/>
          <w:sz w:val="24"/>
          <w:szCs w:val="24"/>
          <w:lang w:val="fr-CA"/>
        </w:rPr>
        <w:t>être révélatrice de la réputation d’un employé éventuel, aux yeux d’un futur employeur, est-il vraiment nécessaire de stigmatiser à outrance une personne qui aurait quitté le milieu du sport</w:t>
      </w:r>
      <w:r w:rsidR="005A1771" w:rsidRPr="00CB1763">
        <w:rPr>
          <w:rFonts w:cs="Arial"/>
          <w:sz w:val="24"/>
          <w:szCs w:val="24"/>
          <w:lang w:val="fr-CA"/>
        </w:rPr>
        <w:t>?</w:t>
      </w:r>
      <w:r w:rsidRPr="00CB1763">
        <w:rPr>
          <w:rFonts w:cs="Arial"/>
          <w:sz w:val="24"/>
          <w:szCs w:val="24"/>
          <w:lang w:val="fr-CA"/>
        </w:rPr>
        <w:t xml:space="preserve"> L’ACSA</w:t>
      </w:r>
      <w:r w:rsidR="00D32198" w:rsidRPr="00CB1763">
        <w:rPr>
          <w:rFonts w:cs="Arial"/>
          <w:sz w:val="24"/>
          <w:szCs w:val="24"/>
          <w:lang w:val="fr-CA"/>
        </w:rPr>
        <w:t xml:space="preserve"> </w:t>
      </w:r>
      <w:r w:rsidR="00422E34" w:rsidRPr="00CB1763">
        <w:rPr>
          <w:rFonts w:cs="Arial"/>
          <w:sz w:val="24"/>
          <w:szCs w:val="24"/>
          <w:lang w:val="fr-CA"/>
        </w:rPr>
        <w:t>invite les membres du comité à réfléchir attentivement à cette question</w:t>
      </w:r>
      <w:r w:rsidR="00D32198" w:rsidRPr="00CB1763">
        <w:rPr>
          <w:rFonts w:cs="Arial"/>
          <w:sz w:val="24"/>
          <w:szCs w:val="24"/>
          <w:lang w:val="fr-CA"/>
        </w:rPr>
        <w:t>.</w:t>
      </w:r>
    </w:p>
    <w:p w:rsidR="00D32198" w:rsidRPr="00CB1763" w:rsidRDefault="00270631" w:rsidP="00FF4CC3">
      <w:pPr>
        <w:pStyle w:val="Heading2"/>
        <w:numPr>
          <w:ilvl w:val="0"/>
          <w:numId w:val="11"/>
        </w:numPr>
        <w:tabs>
          <w:tab w:val="left" w:pos="360"/>
        </w:tabs>
        <w:ind w:left="0" w:firstLine="0"/>
        <w:rPr>
          <w:lang w:val="fr-CA"/>
        </w:rPr>
      </w:pPr>
      <w:bookmarkStart w:id="12" w:name="_Toc368318344"/>
      <w:r w:rsidRPr="00CB1763">
        <w:rPr>
          <w:lang w:val="fr-CA"/>
        </w:rPr>
        <w:lastRenderedPageBreak/>
        <w:t>Sensibilisation et prise de conscience</w:t>
      </w:r>
      <w:r w:rsidR="004839BE" w:rsidRPr="00CB1763">
        <w:rPr>
          <w:lang w:val="fr-CA"/>
        </w:rPr>
        <w:t xml:space="preserve"> (</w:t>
      </w:r>
      <w:r w:rsidR="00AF1744" w:rsidRPr="00CB1763">
        <w:rPr>
          <w:lang w:val="fr-CA"/>
        </w:rPr>
        <w:t>Section 15</w:t>
      </w:r>
      <w:r w:rsidR="004839BE" w:rsidRPr="00CB1763">
        <w:rPr>
          <w:lang w:val="fr-CA"/>
        </w:rPr>
        <w:t xml:space="preserve"> du Code</w:t>
      </w:r>
      <w:r w:rsidR="00AF1744" w:rsidRPr="00CB1763">
        <w:rPr>
          <w:lang w:val="fr-CA"/>
        </w:rPr>
        <w:t>)</w:t>
      </w:r>
      <w:bookmarkEnd w:id="12"/>
    </w:p>
    <w:p w:rsidR="00037E88" w:rsidRPr="00CB1763" w:rsidRDefault="00037E88" w:rsidP="00037E88">
      <w:pPr>
        <w:pStyle w:val="ListParagraph"/>
        <w:autoSpaceDE w:val="0"/>
        <w:autoSpaceDN w:val="0"/>
        <w:adjustRightInd w:val="0"/>
        <w:ind w:left="360"/>
        <w:rPr>
          <w:rFonts w:cs="Arial"/>
          <w:sz w:val="24"/>
          <w:szCs w:val="24"/>
          <w:lang w:val="fr-CA"/>
        </w:rPr>
      </w:pPr>
    </w:p>
    <w:p w:rsidR="007D3D09" w:rsidRPr="00CB1763" w:rsidRDefault="00134DA6" w:rsidP="00037E88">
      <w:pPr>
        <w:pStyle w:val="ListParagraph"/>
        <w:numPr>
          <w:ilvl w:val="0"/>
          <w:numId w:val="8"/>
        </w:numPr>
        <w:autoSpaceDE w:val="0"/>
        <w:autoSpaceDN w:val="0"/>
        <w:adjustRightInd w:val="0"/>
        <w:ind w:left="360"/>
        <w:rPr>
          <w:rFonts w:cs="Arial"/>
          <w:sz w:val="24"/>
          <w:szCs w:val="24"/>
          <w:lang w:val="fr-CA"/>
        </w:rPr>
      </w:pPr>
      <w:r w:rsidRPr="00CB1763">
        <w:rPr>
          <w:rFonts w:cs="Arial"/>
          <w:sz w:val="24"/>
          <w:szCs w:val="24"/>
          <w:lang w:val="fr-CA"/>
        </w:rPr>
        <w:t>L’ACSA</w:t>
      </w:r>
      <w:r w:rsidR="00FF4CC3" w:rsidRPr="00CB1763">
        <w:rPr>
          <w:rFonts w:cs="Arial"/>
          <w:sz w:val="24"/>
          <w:szCs w:val="24"/>
          <w:lang w:val="fr-CA"/>
        </w:rPr>
        <w:t xml:space="preserve"> </w:t>
      </w:r>
      <w:r w:rsidR="006F1EDF" w:rsidRPr="00CB1763">
        <w:rPr>
          <w:rFonts w:cs="Arial"/>
          <w:sz w:val="24"/>
          <w:szCs w:val="24"/>
          <w:lang w:val="fr-CA"/>
        </w:rPr>
        <w:t>propose que les points centrés suivants soient ajoutés à l’article 15.1.1 du</w:t>
      </w:r>
      <w:r w:rsidR="00FF4CC3" w:rsidRPr="00CB1763">
        <w:rPr>
          <w:rFonts w:cs="Arial"/>
          <w:sz w:val="24"/>
          <w:szCs w:val="24"/>
          <w:lang w:val="fr-CA"/>
        </w:rPr>
        <w:t xml:space="preserve"> Code</w:t>
      </w:r>
      <w:r w:rsidR="006F1EDF" w:rsidRPr="00CB1763">
        <w:rPr>
          <w:rFonts w:cs="Arial"/>
          <w:sz w:val="24"/>
          <w:szCs w:val="24"/>
          <w:lang w:val="fr-CA"/>
        </w:rPr>
        <w:t> </w:t>
      </w:r>
      <w:r w:rsidR="00FF4CC3" w:rsidRPr="00CB1763">
        <w:rPr>
          <w:rFonts w:cs="Arial"/>
          <w:sz w:val="24"/>
          <w:szCs w:val="24"/>
          <w:lang w:val="fr-CA"/>
        </w:rPr>
        <w:t>:</w:t>
      </w:r>
    </w:p>
    <w:p w:rsidR="00037E88" w:rsidRPr="00CB1763" w:rsidRDefault="00037E88" w:rsidP="00037E88">
      <w:pPr>
        <w:pStyle w:val="ListParagraph"/>
        <w:autoSpaceDE w:val="0"/>
        <w:autoSpaceDN w:val="0"/>
        <w:adjustRightInd w:val="0"/>
        <w:ind w:left="360"/>
        <w:rPr>
          <w:rFonts w:cs="Arial"/>
          <w:sz w:val="24"/>
          <w:szCs w:val="24"/>
          <w:lang w:val="fr-CA"/>
        </w:rPr>
      </w:pPr>
    </w:p>
    <w:p w:rsidR="007D3D09" w:rsidRPr="00CB1763" w:rsidRDefault="009069F5" w:rsidP="00037E88">
      <w:pPr>
        <w:pStyle w:val="ListParagraph"/>
        <w:numPr>
          <w:ilvl w:val="0"/>
          <w:numId w:val="3"/>
        </w:numPr>
        <w:tabs>
          <w:tab w:val="left" w:pos="1170"/>
        </w:tabs>
        <w:ind w:firstLine="90"/>
        <w:rPr>
          <w:rFonts w:cs="Arial"/>
          <w:sz w:val="24"/>
          <w:szCs w:val="24"/>
          <w:lang w:val="fr-CA"/>
        </w:rPr>
      </w:pPr>
      <w:r w:rsidRPr="00CB1763">
        <w:rPr>
          <w:rFonts w:cs="Arial"/>
          <w:sz w:val="24"/>
          <w:szCs w:val="24"/>
          <w:lang w:val="fr-CA"/>
        </w:rPr>
        <w:t>Fausse déclaration sciemment faite</w:t>
      </w:r>
    </w:p>
    <w:p w:rsidR="007D3D09" w:rsidRPr="00CB1763" w:rsidRDefault="00F366D2" w:rsidP="00037E88">
      <w:pPr>
        <w:pStyle w:val="ListParagraph"/>
        <w:numPr>
          <w:ilvl w:val="0"/>
          <w:numId w:val="3"/>
        </w:numPr>
        <w:tabs>
          <w:tab w:val="left" w:pos="1170"/>
        </w:tabs>
        <w:ind w:firstLine="90"/>
        <w:rPr>
          <w:rFonts w:cs="Arial"/>
          <w:sz w:val="24"/>
          <w:szCs w:val="24"/>
          <w:lang w:val="fr-CA"/>
        </w:rPr>
      </w:pPr>
      <w:r w:rsidRPr="00CB1763">
        <w:rPr>
          <w:rFonts w:cs="Arial"/>
          <w:sz w:val="24"/>
          <w:szCs w:val="24"/>
          <w:lang w:val="fr-CA"/>
        </w:rPr>
        <w:t>Droits et responsabilités du personnel de soutien de l’athlète</w:t>
      </w:r>
    </w:p>
    <w:p w:rsidR="00037E88" w:rsidRPr="00CB1763" w:rsidRDefault="00037E88" w:rsidP="00037E88">
      <w:pPr>
        <w:pStyle w:val="ListParagraph"/>
        <w:ind w:left="360"/>
        <w:rPr>
          <w:rFonts w:cs="Arial"/>
          <w:sz w:val="24"/>
          <w:szCs w:val="24"/>
          <w:lang w:val="fr-CA"/>
        </w:rPr>
      </w:pPr>
    </w:p>
    <w:p w:rsidR="007D3D09" w:rsidRPr="00CB1763" w:rsidRDefault="00807A2A" w:rsidP="00037E88">
      <w:pPr>
        <w:pStyle w:val="ListParagraph"/>
        <w:numPr>
          <w:ilvl w:val="0"/>
          <w:numId w:val="8"/>
        </w:numPr>
        <w:ind w:left="360"/>
        <w:rPr>
          <w:rFonts w:cs="Arial"/>
          <w:sz w:val="24"/>
          <w:szCs w:val="24"/>
          <w:lang w:val="fr-CA"/>
        </w:rPr>
      </w:pPr>
      <w:r w:rsidRPr="00CB1763">
        <w:rPr>
          <w:rFonts w:cs="Arial"/>
          <w:sz w:val="24"/>
          <w:szCs w:val="24"/>
          <w:lang w:val="fr-CA"/>
        </w:rPr>
        <w:t>Un point additionnel devrait être ajouté à l’article</w:t>
      </w:r>
      <w:r w:rsidR="007D3D09" w:rsidRPr="00CB1763">
        <w:rPr>
          <w:rFonts w:cs="Arial"/>
          <w:sz w:val="24"/>
          <w:szCs w:val="24"/>
          <w:lang w:val="fr-CA"/>
        </w:rPr>
        <w:t xml:space="preserve"> 15.1 </w:t>
      </w:r>
      <w:r w:rsidRPr="00CB1763">
        <w:rPr>
          <w:rFonts w:cs="Arial"/>
          <w:sz w:val="24"/>
          <w:szCs w:val="24"/>
          <w:lang w:val="fr-CA"/>
        </w:rPr>
        <w:t>du</w:t>
      </w:r>
      <w:r w:rsidR="007D3D09" w:rsidRPr="00CB1763">
        <w:rPr>
          <w:rFonts w:cs="Arial"/>
          <w:sz w:val="24"/>
          <w:szCs w:val="24"/>
          <w:lang w:val="fr-CA"/>
        </w:rPr>
        <w:t xml:space="preserve"> Code</w:t>
      </w:r>
      <w:r w:rsidRPr="00CB1763">
        <w:rPr>
          <w:rFonts w:cs="Arial"/>
          <w:sz w:val="24"/>
          <w:szCs w:val="24"/>
          <w:lang w:val="fr-CA"/>
        </w:rPr>
        <w:t>, exigeant du CIP qu’il mette en place des pratiques exemplaires à cet égard.</w:t>
      </w:r>
    </w:p>
    <w:p w:rsidR="00037E88" w:rsidRPr="00CB1763" w:rsidRDefault="00037E88" w:rsidP="00037E88">
      <w:pPr>
        <w:pStyle w:val="ListParagraph"/>
        <w:ind w:left="360"/>
        <w:rPr>
          <w:rFonts w:cs="Arial"/>
          <w:sz w:val="24"/>
          <w:szCs w:val="24"/>
          <w:lang w:val="fr-CA"/>
        </w:rPr>
      </w:pPr>
    </w:p>
    <w:p w:rsidR="007D3D09" w:rsidRPr="00CB1763" w:rsidRDefault="00DD1475" w:rsidP="00037E88">
      <w:pPr>
        <w:pStyle w:val="ListParagraph"/>
        <w:numPr>
          <w:ilvl w:val="0"/>
          <w:numId w:val="8"/>
        </w:numPr>
        <w:ind w:left="360"/>
        <w:rPr>
          <w:rFonts w:cs="Arial"/>
          <w:sz w:val="24"/>
          <w:szCs w:val="24"/>
          <w:lang w:val="fr-CA"/>
        </w:rPr>
      </w:pPr>
      <w:r w:rsidRPr="00CB1763">
        <w:rPr>
          <w:rFonts w:cs="Arial"/>
          <w:sz w:val="24"/>
          <w:szCs w:val="24"/>
          <w:lang w:val="fr-CA"/>
        </w:rPr>
        <w:t>Le verbe « devrait »</w:t>
      </w:r>
      <w:r w:rsidR="007D3D09" w:rsidRPr="00CB1763">
        <w:rPr>
          <w:rFonts w:cs="Arial"/>
          <w:sz w:val="24"/>
          <w:szCs w:val="24"/>
          <w:lang w:val="fr-CA"/>
        </w:rPr>
        <w:t xml:space="preserve"> </w:t>
      </w:r>
      <w:r w:rsidRPr="00CB1763">
        <w:rPr>
          <w:rFonts w:cs="Arial"/>
          <w:sz w:val="24"/>
          <w:szCs w:val="24"/>
          <w:lang w:val="fr-CA"/>
        </w:rPr>
        <w:t>à l’article</w:t>
      </w:r>
      <w:r w:rsidR="007D3D09" w:rsidRPr="00CB1763">
        <w:rPr>
          <w:rFonts w:cs="Arial"/>
          <w:sz w:val="24"/>
          <w:szCs w:val="24"/>
          <w:lang w:val="fr-CA"/>
        </w:rPr>
        <w:t xml:space="preserve"> </w:t>
      </w:r>
      <w:r w:rsidR="00F92C83" w:rsidRPr="00CB1763">
        <w:rPr>
          <w:rFonts w:cs="Arial"/>
          <w:sz w:val="24"/>
          <w:szCs w:val="24"/>
          <w:lang w:val="fr-CA"/>
        </w:rPr>
        <w:t xml:space="preserve">15.2.2 </w:t>
      </w:r>
      <w:r w:rsidRPr="00CB1763">
        <w:rPr>
          <w:rFonts w:cs="Arial"/>
          <w:sz w:val="24"/>
          <w:szCs w:val="24"/>
          <w:lang w:val="fr-CA"/>
        </w:rPr>
        <w:t>devrait être remplacé par « devra » pour imposer l’obligation stricte</w:t>
      </w:r>
      <w:r w:rsidR="00BE2805" w:rsidRPr="00CB1763">
        <w:rPr>
          <w:rFonts w:cs="Arial"/>
          <w:sz w:val="24"/>
          <w:szCs w:val="24"/>
          <w:lang w:val="fr-CA"/>
        </w:rPr>
        <w:t xml:space="preserve"> </w:t>
      </w:r>
      <w:r w:rsidR="009241EF" w:rsidRPr="00CB1763">
        <w:rPr>
          <w:rFonts w:cs="Arial"/>
          <w:sz w:val="24"/>
          <w:szCs w:val="24"/>
          <w:lang w:val="fr-CA"/>
        </w:rPr>
        <w:t>de fonder sur l’éthique et sur des données probantes l’ensemble de la recherche sur l’établissement de règles de classification.</w:t>
      </w:r>
    </w:p>
    <w:p w:rsidR="00037E88" w:rsidRPr="00CB1763" w:rsidRDefault="00037E88" w:rsidP="00037E88">
      <w:pPr>
        <w:pStyle w:val="ListParagraph"/>
        <w:ind w:left="360" w:hanging="360"/>
        <w:rPr>
          <w:rFonts w:cs="Arial"/>
          <w:sz w:val="24"/>
          <w:szCs w:val="24"/>
          <w:lang w:val="fr-CA"/>
        </w:rPr>
      </w:pPr>
    </w:p>
    <w:p w:rsidR="00BE2805" w:rsidRPr="00CB1763" w:rsidRDefault="001A1F97" w:rsidP="00037E88">
      <w:pPr>
        <w:pStyle w:val="ListParagraph"/>
        <w:numPr>
          <w:ilvl w:val="0"/>
          <w:numId w:val="8"/>
        </w:numPr>
        <w:ind w:left="360"/>
        <w:rPr>
          <w:rFonts w:cs="Arial"/>
          <w:sz w:val="24"/>
          <w:szCs w:val="24"/>
          <w:lang w:val="fr-CA"/>
        </w:rPr>
      </w:pPr>
      <w:r w:rsidRPr="00CB1763">
        <w:rPr>
          <w:rFonts w:cs="Arial"/>
          <w:sz w:val="24"/>
          <w:szCs w:val="24"/>
          <w:lang w:val="fr-CA"/>
        </w:rPr>
        <w:t>En terminant</w:t>
      </w:r>
      <w:r w:rsidR="00BE2805" w:rsidRPr="00CB1763">
        <w:rPr>
          <w:rFonts w:cs="Arial"/>
          <w:sz w:val="24"/>
          <w:szCs w:val="24"/>
          <w:lang w:val="fr-CA"/>
        </w:rPr>
        <w:t xml:space="preserve">, </w:t>
      </w:r>
      <w:r w:rsidR="009D2C55" w:rsidRPr="00CB1763">
        <w:rPr>
          <w:rFonts w:cs="Arial"/>
          <w:sz w:val="24"/>
          <w:szCs w:val="24"/>
          <w:lang w:val="fr-CA"/>
        </w:rPr>
        <w:t>la recherche devrait également porter sur différente</w:t>
      </w:r>
      <w:r w:rsidR="006E03EB" w:rsidRPr="00CB1763">
        <w:rPr>
          <w:rFonts w:cs="Arial"/>
          <w:sz w:val="24"/>
          <w:szCs w:val="24"/>
          <w:lang w:val="fr-CA"/>
        </w:rPr>
        <w:t>s</w:t>
      </w:r>
      <w:r w:rsidR="009D2C55" w:rsidRPr="00CB1763">
        <w:rPr>
          <w:rFonts w:cs="Arial"/>
          <w:sz w:val="24"/>
          <w:szCs w:val="24"/>
          <w:lang w:val="fr-CA"/>
        </w:rPr>
        <w:t xml:space="preserve"> spécialités propres </w:t>
      </w:r>
      <w:r w:rsidR="006E03EB" w:rsidRPr="00CB1763">
        <w:rPr>
          <w:rFonts w:cs="Arial"/>
          <w:sz w:val="24"/>
          <w:szCs w:val="24"/>
          <w:lang w:val="fr-CA"/>
        </w:rPr>
        <w:t>à</w:t>
      </w:r>
      <w:r w:rsidR="00BE2805" w:rsidRPr="00CB1763">
        <w:rPr>
          <w:rFonts w:cs="Arial"/>
          <w:sz w:val="24"/>
          <w:szCs w:val="24"/>
          <w:lang w:val="fr-CA"/>
        </w:rPr>
        <w:t xml:space="preserve"> </w:t>
      </w:r>
      <w:r w:rsidR="006E03EB" w:rsidRPr="00CB1763">
        <w:rPr>
          <w:rFonts w:cs="Arial"/>
          <w:sz w:val="24"/>
          <w:szCs w:val="24"/>
          <w:lang w:val="fr-CA"/>
        </w:rPr>
        <w:t>chacune des catégories de déficience.</w:t>
      </w:r>
      <w:r w:rsidR="00BE2805" w:rsidRPr="00CB1763">
        <w:rPr>
          <w:rFonts w:cs="Arial"/>
          <w:sz w:val="24"/>
          <w:szCs w:val="24"/>
          <w:lang w:val="fr-CA"/>
        </w:rPr>
        <w:t xml:space="preserve"> </w:t>
      </w:r>
      <w:r w:rsidR="006E03EB" w:rsidRPr="00CB1763">
        <w:rPr>
          <w:rFonts w:cs="Arial"/>
          <w:sz w:val="24"/>
          <w:szCs w:val="24"/>
          <w:lang w:val="fr-CA"/>
        </w:rPr>
        <w:t>Par exe</w:t>
      </w:r>
      <w:r w:rsidR="00BE2805" w:rsidRPr="00CB1763">
        <w:rPr>
          <w:rFonts w:cs="Arial"/>
          <w:sz w:val="24"/>
          <w:szCs w:val="24"/>
          <w:lang w:val="fr-CA"/>
        </w:rPr>
        <w:t xml:space="preserve">mple, </w:t>
      </w:r>
      <w:r w:rsidR="006E03EB" w:rsidRPr="00CB1763">
        <w:rPr>
          <w:rFonts w:cs="Arial"/>
          <w:sz w:val="24"/>
          <w:szCs w:val="24"/>
          <w:lang w:val="fr-CA"/>
        </w:rPr>
        <w:t>la classification touchant la vue devrait être effectuée en fonction de critères médicaux en lien avec un certain nombre de paramètres ou d’éléments</w:t>
      </w:r>
      <w:r w:rsidR="00ED7018" w:rsidRPr="00CB1763">
        <w:rPr>
          <w:rFonts w:cs="Arial"/>
          <w:sz w:val="24"/>
          <w:szCs w:val="24"/>
          <w:lang w:val="fr-CA"/>
        </w:rPr>
        <w:t xml:space="preserve"> </w:t>
      </w:r>
      <w:r w:rsidR="006E03EB" w:rsidRPr="00CB1763">
        <w:rPr>
          <w:rFonts w:cs="Arial"/>
          <w:sz w:val="24"/>
          <w:szCs w:val="24"/>
          <w:lang w:val="fr-CA"/>
        </w:rPr>
        <w:t>du système visuel, à savoir l’évaluation</w:t>
      </w:r>
      <w:r w:rsidR="00BE2805" w:rsidRPr="00CB1763">
        <w:rPr>
          <w:rFonts w:cs="Arial"/>
          <w:sz w:val="24"/>
          <w:szCs w:val="24"/>
          <w:lang w:val="fr-CA"/>
        </w:rPr>
        <w:t xml:space="preserve"> </w:t>
      </w:r>
      <w:r w:rsidR="006E03EB" w:rsidRPr="00CB1763">
        <w:rPr>
          <w:rFonts w:cs="Arial"/>
          <w:sz w:val="24"/>
          <w:szCs w:val="24"/>
          <w:lang w:val="fr-CA"/>
        </w:rPr>
        <w:t>de la vision fonctionnelle</w:t>
      </w:r>
      <w:r w:rsidR="00BE2805" w:rsidRPr="00CB1763">
        <w:rPr>
          <w:rFonts w:cs="Arial"/>
          <w:sz w:val="24"/>
          <w:szCs w:val="24"/>
          <w:lang w:val="fr-CA"/>
        </w:rPr>
        <w:t xml:space="preserve">, </w:t>
      </w:r>
      <w:r w:rsidR="006E03EB" w:rsidRPr="00CB1763">
        <w:rPr>
          <w:rFonts w:cs="Arial"/>
          <w:sz w:val="24"/>
          <w:szCs w:val="24"/>
          <w:lang w:val="fr-CA"/>
        </w:rPr>
        <w:t xml:space="preserve">la recherche portant sur le développement du savoir-faire physique, </w:t>
      </w:r>
      <w:r w:rsidR="00532D28" w:rsidRPr="00CB1763">
        <w:rPr>
          <w:rFonts w:cs="Arial"/>
          <w:sz w:val="24"/>
          <w:szCs w:val="24"/>
          <w:lang w:val="fr-CA"/>
        </w:rPr>
        <w:t>les facteurs relatifs à l’apprentissage moteur</w:t>
      </w:r>
      <w:r w:rsidR="004225ED" w:rsidRPr="00CB1763">
        <w:rPr>
          <w:rFonts w:cs="Arial"/>
          <w:sz w:val="24"/>
          <w:szCs w:val="24"/>
          <w:lang w:val="fr-CA"/>
        </w:rPr>
        <w:t xml:space="preserve">, </w:t>
      </w:r>
      <w:r w:rsidR="00532D28" w:rsidRPr="00CB1763">
        <w:rPr>
          <w:rFonts w:cs="Arial"/>
          <w:sz w:val="24"/>
          <w:szCs w:val="24"/>
          <w:lang w:val="fr-CA"/>
        </w:rPr>
        <w:t>la mise en œuvre du modèle d</w:t>
      </w:r>
      <w:r w:rsidR="002B60E3">
        <w:rPr>
          <w:rFonts w:cs="Arial"/>
          <w:sz w:val="24"/>
          <w:szCs w:val="24"/>
          <w:lang w:val="fr-CA"/>
        </w:rPr>
        <w:t>e développement à long terme de</w:t>
      </w:r>
      <w:r w:rsidR="00532D28" w:rsidRPr="00CB1763">
        <w:rPr>
          <w:rFonts w:cs="Arial"/>
          <w:sz w:val="24"/>
          <w:szCs w:val="24"/>
          <w:lang w:val="fr-CA"/>
        </w:rPr>
        <w:t xml:space="preserve"> </w:t>
      </w:r>
      <w:r w:rsidR="002B60E3">
        <w:rPr>
          <w:rFonts w:cs="Arial"/>
          <w:sz w:val="24"/>
          <w:szCs w:val="24"/>
          <w:lang w:val="fr-CA"/>
        </w:rPr>
        <w:t>l’athlète</w:t>
      </w:r>
      <w:r w:rsidR="004225ED" w:rsidRPr="00CB1763">
        <w:rPr>
          <w:rFonts w:cs="Arial"/>
          <w:sz w:val="24"/>
          <w:szCs w:val="24"/>
          <w:lang w:val="fr-CA"/>
        </w:rPr>
        <w:t xml:space="preserve">, </w:t>
      </w:r>
      <w:r w:rsidR="00532D28" w:rsidRPr="00CB1763">
        <w:rPr>
          <w:rFonts w:cs="Arial"/>
          <w:sz w:val="24"/>
          <w:szCs w:val="24"/>
          <w:lang w:val="fr-CA"/>
        </w:rPr>
        <w:t>l’évaluation propre à un sport et autres facteurs</w:t>
      </w:r>
      <w:r w:rsidR="006E03EB" w:rsidRPr="00CB1763">
        <w:rPr>
          <w:rFonts w:cs="Arial"/>
          <w:sz w:val="24"/>
          <w:szCs w:val="24"/>
          <w:lang w:val="fr-CA"/>
        </w:rPr>
        <w:t>.</w:t>
      </w:r>
    </w:p>
    <w:p w:rsidR="00BE2805" w:rsidRPr="00CB1763" w:rsidRDefault="00216689" w:rsidP="00F7414D">
      <w:pPr>
        <w:pStyle w:val="Heading2"/>
        <w:numPr>
          <w:ilvl w:val="0"/>
          <w:numId w:val="11"/>
        </w:numPr>
        <w:spacing w:after="240"/>
        <w:rPr>
          <w:lang w:val="fr-CA"/>
        </w:rPr>
      </w:pPr>
      <w:bookmarkStart w:id="13" w:name="_Toc368318345"/>
      <w:r w:rsidRPr="00CB1763">
        <w:rPr>
          <w:lang w:val="fr-CA"/>
        </w:rPr>
        <w:t>Rôles et r</w:t>
      </w:r>
      <w:r w:rsidR="00AF1744" w:rsidRPr="00CB1763">
        <w:rPr>
          <w:lang w:val="fr-CA"/>
        </w:rPr>
        <w:t>e</w:t>
      </w:r>
      <w:r w:rsidRPr="00CB1763">
        <w:rPr>
          <w:lang w:val="fr-CA"/>
        </w:rPr>
        <w:t>sponsabilité</w:t>
      </w:r>
      <w:r w:rsidR="004839BE" w:rsidRPr="00CB1763">
        <w:rPr>
          <w:lang w:val="fr-CA"/>
        </w:rPr>
        <w:t xml:space="preserve">s </w:t>
      </w:r>
      <w:r w:rsidRPr="00CB1763">
        <w:rPr>
          <w:lang w:val="fr-CA"/>
        </w:rPr>
        <w:t>du CIP</w:t>
      </w:r>
      <w:r w:rsidR="004839BE" w:rsidRPr="00CB1763">
        <w:rPr>
          <w:lang w:val="fr-CA"/>
        </w:rPr>
        <w:t xml:space="preserve"> (</w:t>
      </w:r>
      <w:r w:rsidR="00AF1744" w:rsidRPr="00CB1763">
        <w:rPr>
          <w:lang w:val="fr-CA"/>
        </w:rPr>
        <w:t>Section 16</w:t>
      </w:r>
      <w:r w:rsidR="004839BE" w:rsidRPr="00CB1763">
        <w:rPr>
          <w:lang w:val="fr-CA"/>
        </w:rPr>
        <w:t xml:space="preserve"> du Code</w:t>
      </w:r>
      <w:r w:rsidR="00AF1744" w:rsidRPr="00CB1763">
        <w:rPr>
          <w:lang w:val="fr-CA"/>
        </w:rPr>
        <w:t>)</w:t>
      </w:r>
      <w:bookmarkEnd w:id="13"/>
    </w:p>
    <w:p w:rsidR="00F21AA2" w:rsidRPr="00CB1763" w:rsidRDefault="007253B4" w:rsidP="00037E88">
      <w:pPr>
        <w:pStyle w:val="ListParagraph"/>
        <w:numPr>
          <w:ilvl w:val="0"/>
          <w:numId w:val="8"/>
        </w:numPr>
        <w:ind w:left="360"/>
        <w:rPr>
          <w:rFonts w:cs="Arial"/>
          <w:sz w:val="24"/>
          <w:szCs w:val="24"/>
          <w:lang w:val="fr-CA"/>
        </w:rPr>
      </w:pPr>
      <w:r w:rsidRPr="00CB1763">
        <w:rPr>
          <w:rFonts w:cs="Arial"/>
          <w:sz w:val="24"/>
          <w:szCs w:val="24"/>
          <w:lang w:val="fr-CA"/>
        </w:rPr>
        <w:t xml:space="preserve">La </w:t>
      </w:r>
      <w:r w:rsidR="00F21AA2" w:rsidRPr="00CB1763">
        <w:rPr>
          <w:rFonts w:cs="Arial"/>
          <w:sz w:val="24"/>
          <w:szCs w:val="24"/>
          <w:lang w:val="fr-CA"/>
        </w:rPr>
        <w:t xml:space="preserve">Section 16.1.1 </w:t>
      </w:r>
      <w:r w:rsidRPr="00CB1763">
        <w:rPr>
          <w:rFonts w:cs="Arial"/>
          <w:sz w:val="24"/>
          <w:szCs w:val="24"/>
          <w:lang w:val="fr-CA"/>
        </w:rPr>
        <w:t>devrait être modifiée de manière à</w:t>
      </w:r>
      <w:r w:rsidR="00F21AA2" w:rsidRPr="00CB1763">
        <w:rPr>
          <w:rFonts w:cs="Arial"/>
          <w:sz w:val="24"/>
          <w:szCs w:val="24"/>
          <w:lang w:val="fr-CA"/>
        </w:rPr>
        <w:t xml:space="preserve"> </w:t>
      </w:r>
      <w:r w:rsidRPr="00CB1763">
        <w:rPr>
          <w:rFonts w:cs="Arial"/>
          <w:sz w:val="24"/>
          <w:szCs w:val="24"/>
          <w:lang w:val="fr-CA"/>
        </w:rPr>
        <w:t>exiger du CIP qu’il consulte ses membres</w:t>
      </w:r>
      <w:r w:rsidR="00F21AA2" w:rsidRPr="00CB1763">
        <w:rPr>
          <w:rFonts w:cs="Arial"/>
          <w:sz w:val="24"/>
          <w:szCs w:val="24"/>
          <w:lang w:val="fr-CA"/>
        </w:rPr>
        <w:t xml:space="preserve"> </w:t>
      </w:r>
      <w:r w:rsidRPr="00CB1763">
        <w:rPr>
          <w:rFonts w:cs="Arial"/>
          <w:sz w:val="24"/>
          <w:szCs w:val="24"/>
          <w:lang w:val="fr-CA"/>
        </w:rPr>
        <w:t>concernant le</w:t>
      </w:r>
      <w:r w:rsidR="00F21AA2" w:rsidRPr="00CB1763">
        <w:rPr>
          <w:rFonts w:cs="Arial"/>
          <w:sz w:val="24"/>
          <w:szCs w:val="24"/>
          <w:lang w:val="fr-CA"/>
        </w:rPr>
        <w:t xml:space="preserve"> Code </w:t>
      </w:r>
      <w:r w:rsidRPr="00CB1763">
        <w:rPr>
          <w:rFonts w:cs="Arial"/>
          <w:sz w:val="24"/>
          <w:szCs w:val="24"/>
          <w:lang w:val="fr-CA"/>
        </w:rPr>
        <w:t>à tous les quatre ans au maximum.</w:t>
      </w:r>
      <w:r w:rsidR="00F21AA2" w:rsidRPr="00CB1763">
        <w:rPr>
          <w:rFonts w:cs="Arial"/>
          <w:sz w:val="24"/>
          <w:szCs w:val="24"/>
          <w:lang w:val="fr-CA"/>
        </w:rPr>
        <w:t xml:space="preserve"> </w:t>
      </w:r>
      <w:r w:rsidRPr="00CB1763">
        <w:rPr>
          <w:rFonts w:cs="Arial"/>
          <w:sz w:val="24"/>
          <w:szCs w:val="24"/>
          <w:lang w:val="fr-CA"/>
        </w:rPr>
        <w:t>Cela permettra de s’assurer que le</w:t>
      </w:r>
      <w:r w:rsidR="00F21AA2" w:rsidRPr="00CB1763">
        <w:rPr>
          <w:rFonts w:cs="Arial"/>
          <w:sz w:val="24"/>
          <w:szCs w:val="24"/>
          <w:lang w:val="fr-CA"/>
        </w:rPr>
        <w:t xml:space="preserve"> Code</w:t>
      </w:r>
      <w:r w:rsidRPr="00CB1763">
        <w:rPr>
          <w:rFonts w:cs="Arial"/>
          <w:sz w:val="24"/>
          <w:szCs w:val="24"/>
          <w:lang w:val="fr-CA"/>
        </w:rPr>
        <w:t xml:space="preserve"> reste actuel et</w:t>
      </w:r>
      <w:r w:rsidR="00F21AA2" w:rsidRPr="00CB1763">
        <w:rPr>
          <w:rFonts w:cs="Arial"/>
          <w:sz w:val="24"/>
          <w:szCs w:val="24"/>
          <w:lang w:val="fr-CA"/>
        </w:rPr>
        <w:t xml:space="preserve"> </w:t>
      </w:r>
      <w:r w:rsidRPr="00CB1763">
        <w:rPr>
          <w:rFonts w:cs="Arial"/>
          <w:sz w:val="24"/>
          <w:szCs w:val="24"/>
          <w:lang w:val="fr-CA"/>
        </w:rPr>
        <w:t>suit la tendance en matière</w:t>
      </w:r>
      <w:r w:rsidR="00653043" w:rsidRPr="00CB1763">
        <w:rPr>
          <w:rFonts w:cs="Arial"/>
          <w:sz w:val="24"/>
          <w:szCs w:val="24"/>
          <w:lang w:val="fr-CA"/>
        </w:rPr>
        <w:t xml:space="preserve"> de technologie</w:t>
      </w:r>
      <w:r w:rsidR="00F21AA2" w:rsidRPr="00CB1763">
        <w:rPr>
          <w:rFonts w:cs="Arial"/>
          <w:sz w:val="24"/>
          <w:szCs w:val="24"/>
          <w:lang w:val="fr-CA"/>
        </w:rPr>
        <w:t xml:space="preserve">, </w:t>
      </w:r>
      <w:r w:rsidR="00653043" w:rsidRPr="00CB1763">
        <w:rPr>
          <w:rFonts w:cs="Arial"/>
          <w:sz w:val="24"/>
          <w:szCs w:val="24"/>
          <w:lang w:val="fr-CA"/>
        </w:rPr>
        <w:t>de recherche et autres facteurs susceptibles d’avoir un impact sur la classification appropriée des athlè</w:t>
      </w:r>
      <w:r w:rsidR="00F21AA2" w:rsidRPr="00CB1763">
        <w:rPr>
          <w:rFonts w:cs="Arial"/>
          <w:sz w:val="24"/>
          <w:szCs w:val="24"/>
          <w:lang w:val="fr-CA"/>
        </w:rPr>
        <w:t>tes.</w:t>
      </w:r>
      <w:r w:rsidR="00006BEA" w:rsidRPr="00CB1763">
        <w:rPr>
          <w:rFonts w:cs="Arial"/>
          <w:sz w:val="24"/>
          <w:szCs w:val="24"/>
          <w:lang w:val="fr-CA"/>
        </w:rPr>
        <w:t xml:space="preserve"> </w:t>
      </w:r>
      <w:r w:rsidR="00EE15EF" w:rsidRPr="00CB1763">
        <w:rPr>
          <w:rFonts w:cs="Arial"/>
          <w:sz w:val="24"/>
          <w:szCs w:val="24"/>
          <w:lang w:val="fr-CA"/>
        </w:rPr>
        <w:t>Des consultations plus fréquentes entre les membres devraient également être envisagées à la discrétion du CIP</w:t>
      </w:r>
      <w:r w:rsidR="00006BEA" w:rsidRPr="00CB1763">
        <w:rPr>
          <w:rFonts w:cs="Arial"/>
          <w:sz w:val="24"/>
          <w:szCs w:val="24"/>
          <w:lang w:val="fr-CA"/>
        </w:rPr>
        <w:t>.</w:t>
      </w:r>
    </w:p>
    <w:p w:rsidR="00037E88" w:rsidRPr="00CB1763" w:rsidRDefault="00037E88" w:rsidP="00037E88">
      <w:pPr>
        <w:pStyle w:val="ListParagraph"/>
        <w:ind w:left="360" w:hanging="360"/>
        <w:rPr>
          <w:rFonts w:cs="Arial"/>
          <w:sz w:val="24"/>
          <w:szCs w:val="24"/>
          <w:lang w:val="fr-CA"/>
        </w:rPr>
      </w:pPr>
    </w:p>
    <w:p w:rsidR="00006BEA" w:rsidRPr="00CB1763" w:rsidRDefault="00EE15EF" w:rsidP="00037E88">
      <w:pPr>
        <w:pStyle w:val="ListParagraph"/>
        <w:numPr>
          <w:ilvl w:val="0"/>
          <w:numId w:val="8"/>
        </w:numPr>
        <w:ind w:left="360"/>
        <w:rPr>
          <w:rFonts w:cs="Arial"/>
          <w:sz w:val="24"/>
          <w:szCs w:val="24"/>
          <w:lang w:val="fr-CA"/>
        </w:rPr>
      </w:pPr>
      <w:r w:rsidRPr="00CB1763">
        <w:rPr>
          <w:rFonts w:cs="Arial"/>
          <w:sz w:val="24"/>
          <w:szCs w:val="24"/>
          <w:lang w:val="fr-CA"/>
        </w:rPr>
        <w:t>Le CIP devrait également être tenu d’offrir la formation nécessaire en matière de classification</w:t>
      </w:r>
      <w:r w:rsidR="007E63E5" w:rsidRPr="00CB1763">
        <w:rPr>
          <w:rFonts w:cs="Arial"/>
          <w:sz w:val="24"/>
          <w:szCs w:val="24"/>
          <w:lang w:val="fr-CA"/>
        </w:rPr>
        <w:t xml:space="preserve"> </w:t>
      </w:r>
      <w:r w:rsidRPr="00CB1763">
        <w:rPr>
          <w:rFonts w:cs="Arial"/>
          <w:sz w:val="24"/>
          <w:szCs w:val="24"/>
          <w:lang w:val="fr-CA"/>
        </w:rPr>
        <w:t>aux Comités nationaux paralympiques (CNP) de même qu’aux FI.</w:t>
      </w:r>
      <w:r w:rsidR="007E63E5" w:rsidRPr="00CB1763">
        <w:rPr>
          <w:rFonts w:cs="Arial"/>
          <w:sz w:val="24"/>
          <w:szCs w:val="24"/>
          <w:lang w:val="fr-CA"/>
        </w:rPr>
        <w:t xml:space="preserve"> </w:t>
      </w:r>
      <w:r w:rsidR="00F11B85" w:rsidRPr="00CB1763">
        <w:rPr>
          <w:rFonts w:cs="Arial"/>
          <w:sz w:val="24"/>
          <w:szCs w:val="24"/>
          <w:lang w:val="fr-CA"/>
        </w:rPr>
        <w:t xml:space="preserve">Cette formation devrait </w:t>
      </w:r>
      <w:r w:rsidR="00D1395B" w:rsidRPr="00CB1763">
        <w:rPr>
          <w:rFonts w:cs="Arial"/>
          <w:sz w:val="24"/>
          <w:szCs w:val="24"/>
          <w:lang w:val="fr-CA"/>
        </w:rPr>
        <w:t>faire état des pratiques en vigueur et des changements au</w:t>
      </w:r>
      <w:r w:rsidR="007E63E5" w:rsidRPr="00CB1763">
        <w:rPr>
          <w:rFonts w:cs="Arial"/>
          <w:sz w:val="24"/>
          <w:szCs w:val="24"/>
          <w:lang w:val="fr-CA"/>
        </w:rPr>
        <w:t xml:space="preserve"> Code </w:t>
      </w:r>
      <w:r w:rsidR="00D1395B" w:rsidRPr="00CB1763">
        <w:rPr>
          <w:rFonts w:cs="Arial"/>
          <w:sz w:val="24"/>
          <w:szCs w:val="24"/>
          <w:lang w:val="fr-CA"/>
        </w:rPr>
        <w:t>adoptés par le CIP</w:t>
      </w:r>
      <w:r w:rsidR="007E63E5" w:rsidRPr="00CB1763">
        <w:rPr>
          <w:rFonts w:cs="Arial"/>
          <w:sz w:val="24"/>
          <w:szCs w:val="24"/>
          <w:lang w:val="fr-CA"/>
        </w:rPr>
        <w:t xml:space="preserve">. </w:t>
      </w:r>
      <w:r w:rsidR="00C10AC3" w:rsidRPr="00CB1763">
        <w:rPr>
          <w:rFonts w:cs="Arial"/>
          <w:sz w:val="24"/>
          <w:szCs w:val="24"/>
          <w:lang w:val="fr-CA"/>
        </w:rPr>
        <w:t>Ainsi, on pourrait organiser des séances de formation ou publier la liste des pratiques exemplaires à suivre, ou les deux</w:t>
      </w:r>
      <w:r w:rsidR="007E63E5" w:rsidRPr="00CB1763">
        <w:rPr>
          <w:rFonts w:cs="Arial"/>
          <w:sz w:val="24"/>
          <w:szCs w:val="24"/>
          <w:lang w:val="fr-CA"/>
        </w:rPr>
        <w:t>.</w:t>
      </w:r>
    </w:p>
    <w:p w:rsidR="00037E88" w:rsidRPr="00CB1763" w:rsidRDefault="00037E88" w:rsidP="00037E88">
      <w:pPr>
        <w:pStyle w:val="ListParagraph"/>
        <w:ind w:left="360" w:hanging="360"/>
        <w:rPr>
          <w:rFonts w:cs="Arial"/>
          <w:sz w:val="24"/>
          <w:szCs w:val="24"/>
          <w:lang w:val="fr-CA"/>
        </w:rPr>
      </w:pPr>
    </w:p>
    <w:p w:rsidR="007E63E5" w:rsidRPr="00CB1763" w:rsidRDefault="0014242F" w:rsidP="00037E88">
      <w:pPr>
        <w:pStyle w:val="ListParagraph"/>
        <w:numPr>
          <w:ilvl w:val="0"/>
          <w:numId w:val="8"/>
        </w:numPr>
        <w:ind w:left="360"/>
        <w:rPr>
          <w:rFonts w:cs="Arial"/>
          <w:sz w:val="24"/>
          <w:szCs w:val="24"/>
          <w:lang w:val="fr-CA"/>
        </w:rPr>
      </w:pPr>
      <w:r w:rsidRPr="00CB1763">
        <w:rPr>
          <w:rFonts w:cs="Arial"/>
          <w:sz w:val="24"/>
          <w:szCs w:val="24"/>
          <w:lang w:val="fr-CA"/>
        </w:rPr>
        <w:t>L’article</w:t>
      </w:r>
      <w:r w:rsidR="004225ED" w:rsidRPr="00CB1763">
        <w:rPr>
          <w:rFonts w:cs="Arial"/>
          <w:sz w:val="24"/>
          <w:szCs w:val="24"/>
          <w:lang w:val="fr-CA"/>
        </w:rPr>
        <w:t xml:space="preserve"> </w:t>
      </w:r>
      <w:r w:rsidR="007E63E5" w:rsidRPr="00CB1763">
        <w:rPr>
          <w:rFonts w:cs="Arial"/>
          <w:sz w:val="24"/>
          <w:szCs w:val="24"/>
          <w:lang w:val="fr-CA"/>
        </w:rPr>
        <w:t xml:space="preserve">16.1.5 </w:t>
      </w:r>
      <w:r w:rsidRPr="00CB1763">
        <w:rPr>
          <w:rFonts w:cs="Arial"/>
          <w:sz w:val="24"/>
          <w:szCs w:val="24"/>
          <w:lang w:val="fr-CA"/>
        </w:rPr>
        <w:t>devrait être modifié</w:t>
      </w:r>
      <w:r w:rsidR="007E63E5" w:rsidRPr="00CB1763">
        <w:rPr>
          <w:rFonts w:cs="Arial"/>
          <w:sz w:val="24"/>
          <w:szCs w:val="24"/>
          <w:lang w:val="fr-CA"/>
        </w:rPr>
        <w:t xml:space="preserve"> </w:t>
      </w:r>
      <w:r w:rsidR="0032508A" w:rsidRPr="00CB1763">
        <w:rPr>
          <w:rFonts w:cs="Arial"/>
          <w:sz w:val="24"/>
          <w:szCs w:val="24"/>
          <w:lang w:val="fr-CA"/>
        </w:rPr>
        <w:t>pour permettre au CIP</w:t>
      </w:r>
      <w:r w:rsidR="007E63E5" w:rsidRPr="00CB1763">
        <w:rPr>
          <w:rFonts w:cs="Arial"/>
          <w:sz w:val="24"/>
          <w:szCs w:val="24"/>
          <w:lang w:val="fr-CA"/>
        </w:rPr>
        <w:t xml:space="preserve"> </w:t>
      </w:r>
      <w:r w:rsidR="0032508A" w:rsidRPr="00CB1763">
        <w:rPr>
          <w:rFonts w:cs="Arial"/>
          <w:sz w:val="24"/>
          <w:szCs w:val="24"/>
          <w:lang w:val="fr-CA"/>
        </w:rPr>
        <w:t>d’avoir la capacité de déterminer si les FI se conforment au Code</w:t>
      </w:r>
      <w:r w:rsidR="007E63E5" w:rsidRPr="00CB1763">
        <w:rPr>
          <w:rFonts w:cs="Arial"/>
          <w:sz w:val="24"/>
          <w:szCs w:val="24"/>
          <w:lang w:val="fr-CA"/>
        </w:rPr>
        <w:t xml:space="preserve"> </w:t>
      </w:r>
      <w:r w:rsidR="0032508A" w:rsidRPr="00CB1763">
        <w:rPr>
          <w:rFonts w:cs="Arial"/>
          <w:sz w:val="24"/>
          <w:szCs w:val="24"/>
          <w:lang w:val="fr-CA"/>
        </w:rPr>
        <w:t>et de recommander un échéancier</w:t>
      </w:r>
      <w:r w:rsidR="007E63E5" w:rsidRPr="00CB1763">
        <w:rPr>
          <w:rFonts w:cs="Arial"/>
          <w:sz w:val="24"/>
          <w:szCs w:val="24"/>
          <w:lang w:val="fr-CA"/>
        </w:rPr>
        <w:t xml:space="preserve"> </w:t>
      </w:r>
      <w:r w:rsidR="0032508A" w:rsidRPr="00CB1763">
        <w:rPr>
          <w:rFonts w:cs="Arial"/>
          <w:sz w:val="24"/>
          <w:szCs w:val="24"/>
          <w:lang w:val="fr-CA"/>
        </w:rPr>
        <w:t>à respecter pour y arriver, le cas échéant, avant que des sanctions soient imposées.</w:t>
      </w:r>
    </w:p>
    <w:p w:rsidR="00037E88" w:rsidRPr="00CB1763" w:rsidRDefault="00037E88" w:rsidP="00037E88">
      <w:pPr>
        <w:pStyle w:val="ListParagraph"/>
        <w:ind w:left="360" w:hanging="360"/>
        <w:rPr>
          <w:rFonts w:cs="Arial"/>
          <w:sz w:val="24"/>
          <w:szCs w:val="24"/>
          <w:lang w:val="fr-CA"/>
        </w:rPr>
      </w:pPr>
    </w:p>
    <w:p w:rsidR="007E63E5" w:rsidRPr="00CB1763" w:rsidRDefault="00A54DA6" w:rsidP="00037E88">
      <w:pPr>
        <w:pStyle w:val="ListParagraph"/>
        <w:numPr>
          <w:ilvl w:val="0"/>
          <w:numId w:val="8"/>
        </w:numPr>
        <w:ind w:left="360"/>
        <w:rPr>
          <w:rFonts w:cs="Arial"/>
          <w:sz w:val="24"/>
          <w:szCs w:val="24"/>
          <w:lang w:val="fr-CA"/>
        </w:rPr>
      </w:pPr>
      <w:r w:rsidRPr="00CB1763">
        <w:rPr>
          <w:rFonts w:cs="Arial"/>
          <w:sz w:val="24"/>
          <w:szCs w:val="24"/>
          <w:lang w:val="fr-CA"/>
        </w:rPr>
        <w:t>L’article</w:t>
      </w:r>
      <w:r w:rsidR="007E63E5" w:rsidRPr="00CB1763">
        <w:rPr>
          <w:rFonts w:cs="Arial"/>
          <w:sz w:val="24"/>
          <w:szCs w:val="24"/>
          <w:lang w:val="fr-CA"/>
        </w:rPr>
        <w:t xml:space="preserve"> 16.2.1 </w:t>
      </w:r>
      <w:r w:rsidRPr="00CB1763">
        <w:rPr>
          <w:rFonts w:cs="Arial"/>
          <w:sz w:val="24"/>
          <w:szCs w:val="24"/>
          <w:lang w:val="fr-CA"/>
        </w:rPr>
        <w:t>devrait être modifié de manière à ce que les FI soient</w:t>
      </w:r>
      <w:r w:rsidR="007E63E5" w:rsidRPr="00CB1763">
        <w:rPr>
          <w:rFonts w:cs="Arial"/>
          <w:sz w:val="24"/>
          <w:szCs w:val="24"/>
          <w:lang w:val="fr-CA"/>
        </w:rPr>
        <w:t xml:space="preserve"> </w:t>
      </w:r>
      <w:r w:rsidRPr="00CB1763">
        <w:rPr>
          <w:rFonts w:cs="Arial"/>
          <w:sz w:val="24"/>
          <w:szCs w:val="24"/>
          <w:lang w:val="fr-CA"/>
        </w:rPr>
        <w:t xml:space="preserve">tenues de respecter le même calendrier d’examen que le CIP, pour s’assurer que les règles de </w:t>
      </w:r>
      <w:r w:rsidRPr="00CB1763">
        <w:rPr>
          <w:rFonts w:cs="Arial"/>
          <w:sz w:val="24"/>
          <w:szCs w:val="24"/>
          <w:lang w:val="fr-CA"/>
        </w:rPr>
        <w:lastRenderedPageBreak/>
        <w:t>classification</w:t>
      </w:r>
      <w:r w:rsidR="007E63E5" w:rsidRPr="00CB1763">
        <w:rPr>
          <w:rFonts w:cs="Arial"/>
          <w:sz w:val="24"/>
          <w:szCs w:val="24"/>
          <w:lang w:val="fr-CA"/>
        </w:rPr>
        <w:t xml:space="preserve"> </w:t>
      </w:r>
      <w:r w:rsidR="00F46EC2" w:rsidRPr="00CB1763">
        <w:rPr>
          <w:rFonts w:cs="Arial"/>
          <w:sz w:val="24"/>
          <w:szCs w:val="24"/>
          <w:lang w:val="fr-CA"/>
        </w:rPr>
        <w:t>sont conformes en tout temps et tiennent compte des changements apportés au Code.</w:t>
      </w:r>
    </w:p>
    <w:p w:rsidR="007E63E5" w:rsidRPr="00CB1763" w:rsidRDefault="00CD33C3" w:rsidP="00F7414D">
      <w:pPr>
        <w:pStyle w:val="Heading2"/>
        <w:numPr>
          <w:ilvl w:val="0"/>
          <w:numId w:val="11"/>
        </w:numPr>
        <w:spacing w:after="240"/>
        <w:rPr>
          <w:lang w:val="fr-CA"/>
        </w:rPr>
      </w:pPr>
      <w:bookmarkStart w:id="14" w:name="_Toc368318346"/>
      <w:r w:rsidRPr="00CB1763">
        <w:rPr>
          <w:lang w:val="fr-CA"/>
        </w:rPr>
        <w:t>Acceptation</w:t>
      </w:r>
      <w:r w:rsidR="00AF1744" w:rsidRPr="00CB1763">
        <w:rPr>
          <w:lang w:val="fr-CA"/>
        </w:rPr>
        <w:t xml:space="preserve">, </w:t>
      </w:r>
      <w:r w:rsidRPr="00CB1763">
        <w:rPr>
          <w:lang w:val="fr-CA"/>
        </w:rPr>
        <w:t>mise en œuvre, conformité et m</w:t>
      </w:r>
      <w:r w:rsidR="004839BE" w:rsidRPr="00CB1763">
        <w:rPr>
          <w:lang w:val="fr-CA"/>
        </w:rPr>
        <w:t>odifications (</w:t>
      </w:r>
      <w:r w:rsidR="00AF1744" w:rsidRPr="00CB1763">
        <w:rPr>
          <w:lang w:val="fr-CA"/>
        </w:rPr>
        <w:t>Section 17</w:t>
      </w:r>
      <w:r w:rsidR="004839BE" w:rsidRPr="00CB1763">
        <w:rPr>
          <w:lang w:val="fr-CA"/>
        </w:rPr>
        <w:t xml:space="preserve"> du Code</w:t>
      </w:r>
      <w:r w:rsidR="00AF1744" w:rsidRPr="00CB1763">
        <w:rPr>
          <w:lang w:val="fr-CA"/>
        </w:rPr>
        <w:t>)</w:t>
      </w:r>
      <w:bookmarkEnd w:id="14"/>
    </w:p>
    <w:p w:rsidR="007E63E5" w:rsidRPr="00CB1763" w:rsidRDefault="002C738F" w:rsidP="00037E88">
      <w:pPr>
        <w:pStyle w:val="ListParagraph"/>
        <w:numPr>
          <w:ilvl w:val="0"/>
          <w:numId w:val="8"/>
        </w:numPr>
        <w:tabs>
          <w:tab w:val="left" w:pos="630"/>
        </w:tabs>
        <w:ind w:left="360"/>
        <w:rPr>
          <w:rFonts w:cs="Arial"/>
          <w:sz w:val="24"/>
          <w:szCs w:val="24"/>
          <w:lang w:val="fr-CA"/>
        </w:rPr>
      </w:pPr>
      <w:r w:rsidRPr="00CB1763">
        <w:rPr>
          <w:rFonts w:cs="Arial"/>
          <w:sz w:val="24"/>
          <w:szCs w:val="24"/>
          <w:lang w:val="fr-CA"/>
        </w:rPr>
        <w:t>Il est déraisonnable de la part du CIP de</w:t>
      </w:r>
      <w:r w:rsidR="007E63E5" w:rsidRPr="00CB1763">
        <w:rPr>
          <w:rFonts w:cs="Arial"/>
          <w:sz w:val="24"/>
          <w:szCs w:val="24"/>
          <w:lang w:val="fr-CA"/>
        </w:rPr>
        <w:t xml:space="preserve"> </w:t>
      </w:r>
      <w:r w:rsidRPr="00CB1763">
        <w:rPr>
          <w:rFonts w:cs="Arial"/>
          <w:sz w:val="24"/>
          <w:szCs w:val="24"/>
          <w:lang w:val="fr-CA"/>
        </w:rPr>
        <w:t xml:space="preserve">fixer une date convenue et formelle </w:t>
      </w:r>
      <w:r w:rsidR="00F23505" w:rsidRPr="00CB1763">
        <w:rPr>
          <w:rFonts w:cs="Arial"/>
          <w:sz w:val="24"/>
          <w:szCs w:val="24"/>
          <w:lang w:val="fr-CA"/>
        </w:rPr>
        <w:t>aux articles</w:t>
      </w:r>
      <w:r w:rsidR="00B50394" w:rsidRPr="00CB1763">
        <w:rPr>
          <w:rFonts w:cs="Arial"/>
          <w:sz w:val="24"/>
          <w:szCs w:val="24"/>
          <w:lang w:val="fr-CA"/>
        </w:rPr>
        <w:t xml:space="preserve"> 17.3.1</w:t>
      </w:r>
      <w:r w:rsidR="00F23505" w:rsidRPr="00CB1763">
        <w:rPr>
          <w:rFonts w:cs="Arial"/>
          <w:sz w:val="24"/>
          <w:szCs w:val="24"/>
          <w:lang w:val="fr-CA"/>
        </w:rPr>
        <w:t xml:space="preserve"> et</w:t>
      </w:r>
      <w:r w:rsidR="00B50394" w:rsidRPr="00CB1763">
        <w:rPr>
          <w:rFonts w:cs="Arial"/>
          <w:sz w:val="24"/>
          <w:szCs w:val="24"/>
          <w:lang w:val="fr-CA"/>
        </w:rPr>
        <w:t xml:space="preserve"> </w:t>
      </w:r>
      <w:r w:rsidR="007C6BBB" w:rsidRPr="00CB1763">
        <w:rPr>
          <w:rFonts w:cs="Arial"/>
          <w:sz w:val="24"/>
          <w:szCs w:val="24"/>
          <w:lang w:val="fr-CA"/>
        </w:rPr>
        <w:t xml:space="preserve">17.3.2 </w:t>
      </w:r>
      <w:r w:rsidR="00CD6031" w:rsidRPr="00CB1763">
        <w:rPr>
          <w:rFonts w:cs="Arial"/>
          <w:sz w:val="24"/>
          <w:szCs w:val="24"/>
          <w:lang w:val="fr-CA"/>
        </w:rPr>
        <w:t xml:space="preserve">à laquelle toutes les FI, et le CIP lui-même, devront </w:t>
      </w:r>
      <w:r w:rsidR="00AF760D" w:rsidRPr="00CB1763">
        <w:rPr>
          <w:rFonts w:cs="Arial"/>
          <w:sz w:val="24"/>
          <w:szCs w:val="24"/>
          <w:lang w:val="fr-CA"/>
        </w:rPr>
        <w:t>se conformer au Code et faire respecter toutes les dispositions, compte tenu de la quantité de recherche qui doit encore être effectuée.</w:t>
      </w:r>
      <w:r w:rsidR="007E63E5" w:rsidRPr="00CB1763">
        <w:rPr>
          <w:rFonts w:cs="Arial"/>
          <w:sz w:val="24"/>
          <w:szCs w:val="24"/>
          <w:lang w:val="fr-CA"/>
        </w:rPr>
        <w:t xml:space="preserve"> </w:t>
      </w:r>
      <w:r w:rsidR="00AF760D" w:rsidRPr="00CB1763">
        <w:rPr>
          <w:rFonts w:cs="Arial"/>
          <w:sz w:val="24"/>
          <w:szCs w:val="24"/>
          <w:lang w:val="fr-CA"/>
        </w:rPr>
        <w:t>Il serait plus avisé de modifier l’article 17.4.1</w:t>
      </w:r>
      <w:r w:rsidR="00C22F52" w:rsidRPr="00CB1763">
        <w:rPr>
          <w:rFonts w:cs="Arial"/>
          <w:sz w:val="24"/>
          <w:szCs w:val="24"/>
          <w:lang w:val="fr-CA"/>
        </w:rPr>
        <w:t xml:space="preserve"> </w:t>
      </w:r>
      <w:r w:rsidR="00AF760D" w:rsidRPr="00CB1763">
        <w:rPr>
          <w:rFonts w:cs="Arial"/>
          <w:sz w:val="24"/>
          <w:szCs w:val="24"/>
          <w:lang w:val="fr-CA"/>
        </w:rPr>
        <w:t>de manière à exiger du CIP et des FI qu’ils produisent un rapport annuel faisant état des progrès accomplis</w:t>
      </w:r>
      <w:r w:rsidR="00897AE4" w:rsidRPr="00CB1763">
        <w:rPr>
          <w:rFonts w:cs="Arial"/>
          <w:sz w:val="24"/>
          <w:szCs w:val="24"/>
          <w:lang w:val="fr-CA"/>
        </w:rPr>
        <w:t xml:space="preserve"> pour se conformer au Code.</w:t>
      </w:r>
      <w:r w:rsidR="007E63E5" w:rsidRPr="00CB1763">
        <w:rPr>
          <w:rFonts w:cs="Arial"/>
          <w:sz w:val="24"/>
          <w:szCs w:val="24"/>
          <w:lang w:val="fr-CA"/>
        </w:rPr>
        <w:t xml:space="preserve"> </w:t>
      </w:r>
      <w:r w:rsidR="00897AE4" w:rsidRPr="00CB1763">
        <w:rPr>
          <w:rFonts w:cs="Arial"/>
          <w:sz w:val="24"/>
          <w:szCs w:val="24"/>
          <w:lang w:val="fr-CA"/>
        </w:rPr>
        <w:t>Toutes les FI devraient</w:t>
      </w:r>
      <w:r w:rsidR="00380F5F" w:rsidRPr="00CB1763">
        <w:rPr>
          <w:rFonts w:cs="Arial"/>
          <w:sz w:val="24"/>
          <w:szCs w:val="24"/>
          <w:lang w:val="fr-CA"/>
        </w:rPr>
        <w:t xml:space="preserve"> transmettre cette information à leurs membres respectifs de même qu’au CIP</w:t>
      </w:r>
      <w:r w:rsidR="00CD6031" w:rsidRPr="00CB1763">
        <w:rPr>
          <w:rFonts w:cs="Arial"/>
          <w:sz w:val="24"/>
          <w:szCs w:val="24"/>
          <w:lang w:val="fr-CA"/>
        </w:rPr>
        <w:t>.</w:t>
      </w:r>
    </w:p>
    <w:p w:rsidR="00C22F52" w:rsidRPr="00CB1763" w:rsidRDefault="00CD33C3" w:rsidP="00F7414D">
      <w:pPr>
        <w:pStyle w:val="Heading2"/>
        <w:numPr>
          <w:ilvl w:val="0"/>
          <w:numId w:val="11"/>
        </w:numPr>
        <w:rPr>
          <w:lang w:val="fr-CA"/>
        </w:rPr>
      </w:pPr>
      <w:bookmarkStart w:id="15" w:name="_Toc368318347"/>
      <w:r w:rsidRPr="00CB1763">
        <w:rPr>
          <w:lang w:val="fr-CA"/>
        </w:rPr>
        <w:t>Glossaire</w:t>
      </w:r>
      <w:r w:rsidR="00AF1744" w:rsidRPr="00CB1763">
        <w:rPr>
          <w:lang w:val="fr-CA"/>
        </w:rPr>
        <w:t xml:space="preserve"> (</w:t>
      </w:r>
      <w:r w:rsidRPr="00CB1763">
        <w:rPr>
          <w:lang w:val="fr-CA"/>
        </w:rPr>
        <w:t>Annexe 2 du Code</w:t>
      </w:r>
      <w:r w:rsidR="00AF1744" w:rsidRPr="00CB1763">
        <w:rPr>
          <w:lang w:val="fr-CA"/>
        </w:rPr>
        <w:t>)</w:t>
      </w:r>
      <w:bookmarkEnd w:id="15"/>
    </w:p>
    <w:p w:rsidR="00C22F52" w:rsidRPr="00CB1763" w:rsidRDefault="00CD6031" w:rsidP="00F7414D">
      <w:pPr>
        <w:pStyle w:val="ListParagraph"/>
        <w:numPr>
          <w:ilvl w:val="0"/>
          <w:numId w:val="8"/>
        </w:numPr>
        <w:spacing w:before="240" w:after="240"/>
        <w:ind w:left="360"/>
        <w:rPr>
          <w:rFonts w:cs="Arial"/>
          <w:sz w:val="24"/>
          <w:szCs w:val="24"/>
          <w:lang w:val="fr-CA"/>
        </w:rPr>
      </w:pPr>
      <w:r w:rsidRPr="00CB1763">
        <w:rPr>
          <w:rFonts w:cs="Arial"/>
          <w:sz w:val="24"/>
          <w:szCs w:val="24"/>
          <w:lang w:val="fr-CA"/>
        </w:rPr>
        <w:t>La définition</w:t>
      </w:r>
      <w:r w:rsidR="00FA6BCC" w:rsidRPr="00CB1763">
        <w:rPr>
          <w:rFonts w:cs="Arial"/>
          <w:sz w:val="24"/>
          <w:szCs w:val="24"/>
          <w:lang w:val="fr-CA"/>
        </w:rPr>
        <w:t xml:space="preserve"> </w:t>
      </w:r>
      <w:r w:rsidRPr="00CB1763">
        <w:rPr>
          <w:rFonts w:cs="Arial"/>
          <w:sz w:val="24"/>
          <w:szCs w:val="24"/>
          <w:lang w:val="fr-CA"/>
        </w:rPr>
        <w:t>de</w:t>
      </w:r>
      <w:r w:rsidR="00C22F52" w:rsidRPr="00CB1763">
        <w:rPr>
          <w:rFonts w:cs="Arial"/>
          <w:sz w:val="24"/>
          <w:szCs w:val="24"/>
          <w:lang w:val="fr-CA"/>
        </w:rPr>
        <w:t xml:space="preserve"> Personnel</w:t>
      </w:r>
      <w:r w:rsidRPr="00CB1763">
        <w:rPr>
          <w:rFonts w:cs="Arial"/>
          <w:sz w:val="24"/>
          <w:szCs w:val="24"/>
          <w:lang w:val="fr-CA"/>
        </w:rPr>
        <w:t xml:space="preserve"> de soutien d’un athlète devrait être élargie et </w:t>
      </w:r>
      <w:r w:rsidR="00380F5F" w:rsidRPr="00CB1763">
        <w:rPr>
          <w:rFonts w:cs="Arial"/>
          <w:sz w:val="24"/>
          <w:szCs w:val="24"/>
          <w:lang w:val="fr-CA"/>
        </w:rPr>
        <w:t>inclure un guide</w:t>
      </w:r>
      <w:r w:rsidR="00C22F52" w:rsidRPr="00CB1763">
        <w:rPr>
          <w:rFonts w:cs="Arial"/>
          <w:sz w:val="24"/>
          <w:szCs w:val="24"/>
          <w:lang w:val="fr-CA"/>
        </w:rPr>
        <w:t xml:space="preserve"> </w:t>
      </w:r>
      <w:r w:rsidR="00380F5F" w:rsidRPr="00CB1763">
        <w:rPr>
          <w:rFonts w:cs="Arial"/>
          <w:sz w:val="24"/>
          <w:szCs w:val="24"/>
          <w:lang w:val="fr-CA"/>
        </w:rPr>
        <w:t>voyant de même qu’un assistant sur le terrain.</w:t>
      </w:r>
      <w:r w:rsidR="00C22F52" w:rsidRPr="00CB1763">
        <w:rPr>
          <w:rFonts w:cs="Arial"/>
          <w:sz w:val="24"/>
          <w:szCs w:val="24"/>
          <w:lang w:val="fr-CA"/>
        </w:rPr>
        <w:t xml:space="preserve"> </w:t>
      </w:r>
      <w:r w:rsidR="00380F5F" w:rsidRPr="00CB1763">
        <w:rPr>
          <w:rFonts w:cs="Arial"/>
          <w:sz w:val="24"/>
          <w:szCs w:val="24"/>
          <w:lang w:val="fr-CA"/>
        </w:rPr>
        <w:t>Ces personnes peuvent être d’un précieux secours pour tous les athlètes</w:t>
      </w:r>
      <w:r w:rsidR="00B70C9C" w:rsidRPr="00CB1763">
        <w:rPr>
          <w:rFonts w:cs="Arial"/>
          <w:sz w:val="24"/>
          <w:szCs w:val="24"/>
          <w:lang w:val="fr-CA"/>
        </w:rPr>
        <w:t xml:space="preserve"> souffrant d’une déficience plus grave</w:t>
      </w:r>
      <w:r w:rsidR="00C22F52" w:rsidRPr="00CB1763">
        <w:rPr>
          <w:rFonts w:cs="Arial"/>
          <w:sz w:val="24"/>
          <w:szCs w:val="24"/>
          <w:lang w:val="fr-CA"/>
        </w:rPr>
        <w:t>.</w:t>
      </w:r>
    </w:p>
    <w:p w:rsidR="00037E88" w:rsidRPr="00CB1763" w:rsidRDefault="00037E88" w:rsidP="00037E88">
      <w:pPr>
        <w:pStyle w:val="ListParagraph"/>
        <w:ind w:left="360" w:hanging="360"/>
        <w:rPr>
          <w:rFonts w:cs="Arial"/>
          <w:sz w:val="24"/>
          <w:szCs w:val="24"/>
          <w:lang w:val="fr-CA"/>
        </w:rPr>
      </w:pPr>
    </w:p>
    <w:p w:rsidR="00C22F52" w:rsidRPr="00CB1763" w:rsidRDefault="00CD6031" w:rsidP="00037E88">
      <w:pPr>
        <w:pStyle w:val="ListParagraph"/>
        <w:numPr>
          <w:ilvl w:val="0"/>
          <w:numId w:val="8"/>
        </w:numPr>
        <w:ind w:left="360"/>
        <w:rPr>
          <w:rFonts w:cs="Arial"/>
          <w:sz w:val="24"/>
          <w:szCs w:val="24"/>
          <w:lang w:val="fr-CA"/>
        </w:rPr>
      </w:pPr>
      <w:r w:rsidRPr="00CB1763">
        <w:rPr>
          <w:rFonts w:cs="Arial"/>
          <w:sz w:val="24"/>
          <w:szCs w:val="24"/>
          <w:lang w:val="fr-CA"/>
        </w:rPr>
        <w:t xml:space="preserve">La définition de </w:t>
      </w:r>
      <w:r w:rsidR="00B70C9C" w:rsidRPr="00CB1763">
        <w:rPr>
          <w:rFonts w:cs="Arial"/>
          <w:sz w:val="24"/>
          <w:szCs w:val="24"/>
          <w:lang w:val="fr-CA"/>
        </w:rPr>
        <w:t xml:space="preserve">Liste </w:t>
      </w:r>
      <w:r w:rsidR="00654FD0" w:rsidRPr="00CB1763">
        <w:rPr>
          <w:rFonts w:cs="Arial"/>
          <w:sz w:val="24"/>
          <w:szCs w:val="24"/>
          <w:lang w:val="fr-CA"/>
        </w:rPr>
        <w:t>principale de classification devrait être modifiée</w:t>
      </w:r>
      <w:r w:rsidR="00C22F52" w:rsidRPr="00CB1763">
        <w:rPr>
          <w:rFonts w:cs="Arial"/>
          <w:sz w:val="24"/>
          <w:szCs w:val="24"/>
          <w:lang w:val="fr-CA"/>
        </w:rPr>
        <w:t xml:space="preserve"> </w:t>
      </w:r>
      <w:r w:rsidR="00654FD0" w:rsidRPr="00CB1763">
        <w:rPr>
          <w:rFonts w:cs="Arial"/>
          <w:sz w:val="24"/>
          <w:szCs w:val="24"/>
          <w:lang w:val="fr-CA"/>
        </w:rPr>
        <w:t xml:space="preserve">conformément aux propositions de l’ACSA concernant la </w:t>
      </w:r>
      <w:r w:rsidR="00C22F52" w:rsidRPr="00CB1763">
        <w:rPr>
          <w:rFonts w:cs="Arial"/>
          <w:sz w:val="24"/>
          <w:szCs w:val="24"/>
          <w:lang w:val="fr-CA"/>
        </w:rPr>
        <w:t xml:space="preserve">Section </w:t>
      </w:r>
      <w:r w:rsidR="00B50394" w:rsidRPr="00CB1763">
        <w:rPr>
          <w:rFonts w:cs="Arial"/>
          <w:sz w:val="24"/>
          <w:szCs w:val="24"/>
          <w:lang w:val="fr-CA"/>
        </w:rPr>
        <w:t>2.6</w:t>
      </w:r>
      <w:r w:rsidR="00C22F52" w:rsidRPr="00CB1763">
        <w:rPr>
          <w:rFonts w:cs="Arial"/>
          <w:sz w:val="24"/>
          <w:szCs w:val="24"/>
          <w:lang w:val="fr-CA"/>
        </w:rPr>
        <w:t xml:space="preserve"> </w:t>
      </w:r>
      <w:r w:rsidR="00654FD0" w:rsidRPr="00CB1763">
        <w:rPr>
          <w:rFonts w:cs="Arial"/>
          <w:sz w:val="24"/>
          <w:szCs w:val="24"/>
          <w:lang w:val="fr-CA"/>
        </w:rPr>
        <w:t>du</w:t>
      </w:r>
      <w:r w:rsidR="00C22F52" w:rsidRPr="00CB1763">
        <w:rPr>
          <w:rFonts w:cs="Arial"/>
          <w:sz w:val="24"/>
          <w:szCs w:val="24"/>
          <w:lang w:val="fr-CA"/>
        </w:rPr>
        <w:t xml:space="preserve"> Code,</w:t>
      </w:r>
      <w:r w:rsidR="00155E80" w:rsidRPr="00CB1763">
        <w:rPr>
          <w:rFonts w:cs="Arial"/>
          <w:sz w:val="24"/>
          <w:szCs w:val="24"/>
          <w:lang w:val="fr-CA"/>
        </w:rPr>
        <w:t xml:space="preserve"> </w:t>
      </w:r>
      <w:r w:rsidR="00654FD0" w:rsidRPr="00CB1763">
        <w:rPr>
          <w:rFonts w:cs="Arial"/>
          <w:sz w:val="24"/>
          <w:szCs w:val="24"/>
          <w:lang w:val="fr-CA"/>
        </w:rPr>
        <w:t>ci-dessus.</w:t>
      </w:r>
    </w:p>
    <w:p w:rsidR="00037E88" w:rsidRPr="00CB1763" w:rsidRDefault="00037E88" w:rsidP="00037E88">
      <w:pPr>
        <w:pStyle w:val="ListParagraph"/>
        <w:ind w:left="360" w:hanging="360"/>
        <w:rPr>
          <w:rFonts w:cs="Arial"/>
          <w:sz w:val="24"/>
          <w:szCs w:val="24"/>
          <w:lang w:val="fr-CA"/>
        </w:rPr>
      </w:pPr>
    </w:p>
    <w:p w:rsidR="00F7414D" w:rsidRPr="00CB1763" w:rsidRDefault="00654FD0" w:rsidP="00F7414D">
      <w:pPr>
        <w:pStyle w:val="ListParagraph"/>
        <w:numPr>
          <w:ilvl w:val="0"/>
          <w:numId w:val="8"/>
        </w:numPr>
        <w:ind w:left="360"/>
        <w:rPr>
          <w:rFonts w:cs="Arial"/>
          <w:sz w:val="24"/>
          <w:szCs w:val="24"/>
          <w:lang w:val="fr-CA"/>
        </w:rPr>
      </w:pPr>
      <w:r w:rsidRPr="00CB1763">
        <w:rPr>
          <w:rFonts w:cs="Arial"/>
          <w:sz w:val="24"/>
          <w:szCs w:val="24"/>
          <w:lang w:val="fr-CA"/>
        </w:rPr>
        <w:t>En terminant, nous remarquons aussi que</w:t>
      </w:r>
      <w:r w:rsidR="00C77013" w:rsidRPr="00CB1763">
        <w:rPr>
          <w:rFonts w:cs="Arial"/>
          <w:sz w:val="24"/>
          <w:szCs w:val="24"/>
          <w:lang w:val="fr-CA"/>
        </w:rPr>
        <w:t xml:space="preserve"> le Glossaire renferme beaucoup de termes qui ne sont pas utilisés dans le</w:t>
      </w:r>
      <w:r w:rsidR="003C6448" w:rsidRPr="00CB1763">
        <w:rPr>
          <w:rFonts w:cs="Arial"/>
          <w:sz w:val="24"/>
          <w:szCs w:val="24"/>
          <w:lang w:val="fr-CA"/>
        </w:rPr>
        <w:t xml:space="preserve"> Code </w:t>
      </w:r>
      <w:r w:rsidR="00C77013" w:rsidRPr="00CB1763">
        <w:rPr>
          <w:rFonts w:cs="Arial"/>
          <w:sz w:val="24"/>
          <w:szCs w:val="24"/>
          <w:lang w:val="fr-CA"/>
        </w:rPr>
        <w:t>en tant que tel</w:t>
      </w:r>
      <w:r w:rsidR="003C6448" w:rsidRPr="00CB1763">
        <w:rPr>
          <w:rFonts w:cs="Arial"/>
          <w:sz w:val="24"/>
          <w:szCs w:val="24"/>
          <w:lang w:val="fr-CA"/>
        </w:rPr>
        <w:t xml:space="preserve">. </w:t>
      </w:r>
      <w:r w:rsidR="00F13192" w:rsidRPr="00CB1763">
        <w:rPr>
          <w:rFonts w:cs="Arial"/>
          <w:sz w:val="24"/>
          <w:szCs w:val="24"/>
          <w:lang w:val="fr-CA"/>
        </w:rPr>
        <w:t>Ces derniers devraient être actualisés et</w:t>
      </w:r>
      <w:r w:rsidR="002A0D95" w:rsidRPr="00CB1763">
        <w:rPr>
          <w:rFonts w:cs="Arial"/>
          <w:sz w:val="24"/>
          <w:szCs w:val="24"/>
          <w:lang w:val="fr-CA"/>
        </w:rPr>
        <w:t xml:space="preserve"> </w:t>
      </w:r>
      <w:r w:rsidR="00F13192" w:rsidRPr="00CB1763">
        <w:rPr>
          <w:rFonts w:cs="Arial"/>
          <w:sz w:val="24"/>
          <w:szCs w:val="24"/>
          <w:lang w:val="fr-CA"/>
        </w:rPr>
        <w:t xml:space="preserve">déplacés </w:t>
      </w:r>
      <w:r w:rsidR="00CE5263" w:rsidRPr="00CB1763">
        <w:rPr>
          <w:rFonts w:cs="Arial"/>
          <w:sz w:val="24"/>
          <w:szCs w:val="24"/>
          <w:lang w:val="fr-CA"/>
        </w:rPr>
        <w:t xml:space="preserve">au début du document, </w:t>
      </w:r>
      <w:r w:rsidR="00691A41" w:rsidRPr="00CB1763">
        <w:rPr>
          <w:rFonts w:cs="Arial"/>
          <w:sz w:val="24"/>
          <w:szCs w:val="24"/>
          <w:lang w:val="fr-CA"/>
        </w:rPr>
        <w:t>de manière à y retrouver la définition avant de les employer dans le corps du texte</w:t>
      </w:r>
      <w:r w:rsidR="002A0D95" w:rsidRPr="00CB1763">
        <w:rPr>
          <w:rFonts w:cs="Arial"/>
          <w:sz w:val="24"/>
          <w:szCs w:val="24"/>
          <w:lang w:val="fr-CA"/>
        </w:rPr>
        <w:t>.</w:t>
      </w:r>
    </w:p>
    <w:p w:rsidR="006B0545" w:rsidRPr="00CB1763" w:rsidRDefault="00136213" w:rsidP="00FA6BCC">
      <w:pPr>
        <w:pStyle w:val="Heading2"/>
        <w:numPr>
          <w:ilvl w:val="0"/>
          <w:numId w:val="11"/>
        </w:numPr>
        <w:tabs>
          <w:tab w:val="left" w:pos="360"/>
        </w:tabs>
        <w:spacing w:before="240" w:after="240"/>
        <w:rPr>
          <w:rFonts w:cs="Arial"/>
          <w:sz w:val="24"/>
          <w:szCs w:val="24"/>
          <w:lang w:val="fr-CA"/>
        </w:rPr>
      </w:pPr>
      <w:bookmarkStart w:id="16" w:name="_Toc368318348"/>
      <w:r w:rsidRPr="00CB1763">
        <w:rPr>
          <w:lang w:val="fr-CA"/>
        </w:rPr>
        <w:t>Loi applicable</w:t>
      </w:r>
      <w:bookmarkEnd w:id="16"/>
    </w:p>
    <w:p w:rsidR="006B0545" w:rsidRPr="00CB1763" w:rsidRDefault="00691A41" w:rsidP="00037E88">
      <w:pPr>
        <w:pStyle w:val="ListParagraph"/>
        <w:numPr>
          <w:ilvl w:val="0"/>
          <w:numId w:val="8"/>
        </w:numPr>
        <w:ind w:left="360"/>
        <w:rPr>
          <w:rFonts w:cs="Arial"/>
          <w:sz w:val="24"/>
          <w:szCs w:val="24"/>
          <w:lang w:val="fr-CA"/>
        </w:rPr>
      </w:pPr>
      <w:r w:rsidRPr="00CB1763">
        <w:rPr>
          <w:rFonts w:cs="Arial"/>
          <w:sz w:val="24"/>
          <w:szCs w:val="24"/>
          <w:lang w:val="fr-CA"/>
        </w:rPr>
        <w:t>L</w:t>
      </w:r>
      <w:r w:rsidR="006B0545" w:rsidRPr="00CB1763">
        <w:rPr>
          <w:rFonts w:cs="Arial"/>
          <w:sz w:val="24"/>
          <w:szCs w:val="24"/>
          <w:lang w:val="fr-CA"/>
        </w:rPr>
        <w:t xml:space="preserve">e Code </w:t>
      </w:r>
      <w:r w:rsidRPr="00CB1763">
        <w:rPr>
          <w:rFonts w:cs="Arial"/>
          <w:sz w:val="24"/>
          <w:szCs w:val="24"/>
          <w:lang w:val="fr-CA"/>
        </w:rPr>
        <w:t>ne comporte pas pour le moment de disposition sur une loi applicable qui servirait de mécanisme d’interprétation de ses dispositions</w:t>
      </w:r>
      <w:r w:rsidR="006B0545" w:rsidRPr="00CB1763">
        <w:rPr>
          <w:rFonts w:cs="Arial"/>
          <w:sz w:val="24"/>
          <w:szCs w:val="24"/>
          <w:lang w:val="fr-CA"/>
        </w:rPr>
        <w:t xml:space="preserve"> </w:t>
      </w:r>
      <w:r w:rsidRPr="00CB1763">
        <w:rPr>
          <w:rFonts w:cs="Arial"/>
          <w:sz w:val="24"/>
          <w:szCs w:val="24"/>
          <w:lang w:val="fr-CA"/>
        </w:rPr>
        <w:t>et de règlement des différends entre les parties. L’ACSA n’a pas de préférence</w:t>
      </w:r>
      <w:r w:rsidR="006B0545" w:rsidRPr="00CB1763">
        <w:rPr>
          <w:rFonts w:cs="Arial"/>
          <w:sz w:val="24"/>
          <w:szCs w:val="24"/>
          <w:lang w:val="fr-CA"/>
        </w:rPr>
        <w:t xml:space="preserve"> </w:t>
      </w:r>
      <w:r w:rsidR="0016307A" w:rsidRPr="00CB1763">
        <w:rPr>
          <w:rFonts w:cs="Arial"/>
          <w:sz w:val="24"/>
          <w:szCs w:val="24"/>
          <w:lang w:val="fr-CA"/>
        </w:rPr>
        <w:t>en ce qui concerne la loi applicable sélectionnée en vertu du Code.</w:t>
      </w:r>
      <w:r w:rsidR="006B0545" w:rsidRPr="00CB1763">
        <w:rPr>
          <w:rFonts w:cs="Arial"/>
          <w:sz w:val="24"/>
          <w:szCs w:val="24"/>
          <w:lang w:val="fr-CA"/>
        </w:rPr>
        <w:t xml:space="preserve"> </w:t>
      </w:r>
      <w:r w:rsidR="0016307A" w:rsidRPr="00CB1763">
        <w:rPr>
          <w:rFonts w:cs="Arial"/>
          <w:sz w:val="24"/>
          <w:szCs w:val="24"/>
          <w:lang w:val="fr-CA"/>
        </w:rPr>
        <w:t>Nous voulons tout simplement faire remarquer qu’il faut s’entendre sur les lois d’un pays pour s’assurer que les dispositions du Code</w:t>
      </w:r>
      <w:r w:rsidR="006B0545" w:rsidRPr="00CB1763">
        <w:rPr>
          <w:rFonts w:cs="Arial"/>
          <w:sz w:val="24"/>
          <w:szCs w:val="24"/>
          <w:lang w:val="fr-CA"/>
        </w:rPr>
        <w:t xml:space="preserve"> </w:t>
      </w:r>
      <w:r w:rsidR="0016307A" w:rsidRPr="00CB1763">
        <w:rPr>
          <w:rFonts w:cs="Arial"/>
          <w:sz w:val="24"/>
          <w:szCs w:val="24"/>
          <w:lang w:val="fr-CA"/>
        </w:rPr>
        <w:t>sont interprétées de la même manière, peu importe o</w:t>
      </w:r>
      <w:r w:rsidR="00691355" w:rsidRPr="00CB1763">
        <w:rPr>
          <w:rFonts w:cs="Arial"/>
          <w:sz w:val="24"/>
          <w:szCs w:val="24"/>
          <w:lang w:val="fr-CA"/>
        </w:rPr>
        <w:t>ù les compétitions ont lieu</w:t>
      </w:r>
      <w:r w:rsidR="006B0545" w:rsidRPr="00CB1763">
        <w:rPr>
          <w:rFonts w:cs="Arial"/>
          <w:sz w:val="24"/>
          <w:szCs w:val="24"/>
          <w:lang w:val="fr-CA"/>
        </w:rPr>
        <w:t xml:space="preserve">. </w:t>
      </w:r>
      <w:r w:rsidR="00691355" w:rsidRPr="00CB1763">
        <w:rPr>
          <w:rFonts w:cs="Arial"/>
          <w:sz w:val="24"/>
          <w:szCs w:val="24"/>
          <w:lang w:val="fr-CA"/>
        </w:rPr>
        <w:t>Dès que le choix sera fait, et que la disposition sera adoptée, on propose de l’ajouter en tant qu’article</w:t>
      </w:r>
      <w:r w:rsidR="006B0545" w:rsidRPr="00CB1763">
        <w:rPr>
          <w:rFonts w:cs="Arial"/>
          <w:sz w:val="24"/>
          <w:szCs w:val="24"/>
          <w:lang w:val="fr-CA"/>
        </w:rPr>
        <w:t xml:space="preserve"> 18.3 </w:t>
      </w:r>
      <w:r w:rsidR="00691355" w:rsidRPr="00CB1763">
        <w:rPr>
          <w:rFonts w:cs="Arial"/>
          <w:sz w:val="24"/>
          <w:szCs w:val="24"/>
          <w:lang w:val="fr-CA"/>
        </w:rPr>
        <w:t>du</w:t>
      </w:r>
      <w:r w:rsidR="006B0545" w:rsidRPr="00CB1763">
        <w:rPr>
          <w:rFonts w:cs="Arial"/>
          <w:sz w:val="24"/>
          <w:szCs w:val="24"/>
          <w:lang w:val="fr-CA"/>
        </w:rPr>
        <w:t xml:space="preserve"> Code</w:t>
      </w:r>
      <w:r w:rsidR="00691355" w:rsidRPr="00CB1763">
        <w:rPr>
          <w:rFonts w:cs="Arial"/>
          <w:sz w:val="24"/>
          <w:szCs w:val="24"/>
          <w:lang w:val="fr-CA"/>
        </w:rPr>
        <w:t>, puis de numéroter en séquence les autres articles de la Section 18</w:t>
      </w:r>
      <w:r w:rsidR="006B0545" w:rsidRPr="00CB1763">
        <w:rPr>
          <w:rFonts w:cs="Arial"/>
          <w:sz w:val="24"/>
          <w:szCs w:val="24"/>
          <w:lang w:val="fr-CA"/>
        </w:rPr>
        <w:t>.</w:t>
      </w:r>
    </w:p>
    <w:p w:rsidR="006B0545" w:rsidRPr="00CB1763" w:rsidRDefault="00CD33C3" w:rsidP="00C3163C">
      <w:pPr>
        <w:pStyle w:val="Heading2"/>
        <w:numPr>
          <w:ilvl w:val="0"/>
          <w:numId w:val="11"/>
        </w:numPr>
        <w:spacing w:before="240" w:after="240"/>
        <w:rPr>
          <w:lang w:val="fr-CA"/>
        </w:rPr>
      </w:pPr>
      <w:bookmarkStart w:id="17" w:name="_Toc368318349"/>
      <w:r w:rsidRPr="00CB1763">
        <w:rPr>
          <w:lang w:val="fr-CA"/>
        </w:rPr>
        <w:t>Accessibilité</w:t>
      </w:r>
      <w:r w:rsidR="00AF1744" w:rsidRPr="00CB1763">
        <w:rPr>
          <w:lang w:val="fr-CA"/>
        </w:rPr>
        <w:t xml:space="preserve"> </w:t>
      </w:r>
      <w:r w:rsidRPr="00CB1763">
        <w:rPr>
          <w:lang w:val="fr-CA"/>
        </w:rPr>
        <w:t>du</w:t>
      </w:r>
      <w:r w:rsidR="00AF1744" w:rsidRPr="00CB1763">
        <w:rPr>
          <w:lang w:val="fr-CA"/>
        </w:rPr>
        <w:t xml:space="preserve"> Code</w:t>
      </w:r>
      <w:bookmarkEnd w:id="17"/>
    </w:p>
    <w:p w:rsidR="006B0545" w:rsidRPr="00CB1763" w:rsidRDefault="00B90083" w:rsidP="00F7414D">
      <w:pPr>
        <w:pStyle w:val="ListParagraph"/>
        <w:numPr>
          <w:ilvl w:val="0"/>
          <w:numId w:val="8"/>
        </w:numPr>
        <w:ind w:left="360"/>
        <w:rPr>
          <w:rFonts w:cs="Arial"/>
          <w:sz w:val="24"/>
          <w:szCs w:val="24"/>
          <w:lang w:val="fr-CA"/>
        </w:rPr>
      </w:pPr>
      <w:r w:rsidRPr="00CB1763">
        <w:rPr>
          <w:rFonts w:cs="Arial"/>
          <w:sz w:val="24"/>
          <w:szCs w:val="24"/>
          <w:lang w:val="fr-CA"/>
        </w:rPr>
        <w:t>Au moment de préparer la version révisée du</w:t>
      </w:r>
      <w:r w:rsidR="006B0545" w:rsidRPr="00CB1763">
        <w:rPr>
          <w:rFonts w:cs="Arial"/>
          <w:sz w:val="24"/>
          <w:szCs w:val="24"/>
          <w:lang w:val="fr-CA"/>
        </w:rPr>
        <w:t xml:space="preserve"> Code, </w:t>
      </w:r>
      <w:r w:rsidRPr="00CB1763">
        <w:rPr>
          <w:rFonts w:cs="Arial"/>
          <w:sz w:val="24"/>
          <w:szCs w:val="24"/>
          <w:lang w:val="fr-CA"/>
        </w:rPr>
        <w:t xml:space="preserve">le Comité </w:t>
      </w:r>
      <w:r w:rsidR="000A40A2" w:rsidRPr="00CB1763">
        <w:rPr>
          <w:rFonts w:cs="Arial"/>
          <w:sz w:val="24"/>
          <w:szCs w:val="24"/>
          <w:lang w:val="fr-CA"/>
        </w:rPr>
        <w:t>ne doit pas oublier que le public cible n’est plus le même depuis la dernière publication.</w:t>
      </w:r>
      <w:r w:rsidR="006B0545" w:rsidRPr="00CB1763">
        <w:rPr>
          <w:rFonts w:cs="Arial"/>
          <w:sz w:val="24"/>
          <w:szCs w:val="24"/>
          <w:lang w:val="fr-CA"/>
        </w:rPr>
        <w:t xml:space="preserve"> </w:t>
      </w:r>
      <w:r w:rsidR="000A40A2" w:rsidRPr="00CB1763">
        <w:rPr>
          <w:rFonts w:cs="Arial"/>
          <w:sz w:val="24"/>
          <w:szCs w:val="24"/>
          <w:lang w:val="fr-CA"/>
        </w:rPr>
        <w:t>Outre les athlètes ayant une défic</w:t>
      </w:r>
      <w:r w:rsidR="000F3239">
        <w:rPr>
          <w:rFonts w:cs="Arial"/>
          <w:sz w:val="24"/>
          <w:szCs w:val="24"/>
          <w:lang w:val="fr-CA"/>
        </w:rPr>
        <w:t>ience physique ou visuelle, le M</w:t>
      </w:r>
      <w:r w:rsidR="000A40A2" w:rsidRPr="00CB1763">
        <w:rPr>
          <w:rFonts w:cs="Arial"/>
          <w:sz w:val="24"/>
          <w:szCs w:val="24"/>
          <w:lang w:val="fr-CA"/>
        </w:rPr>
        <w:t xml:space="preserve">ouvement paralympique </w:t>
      </w:r>
      <w:r w:rsidR="000A40A2" w:rsidRPr="00CB1763">
        <w:rPr>
          <w:rFonts w:cs="Arial"/>
          <w:sz w:val="24"/>
          <w:szCs w:val="24"/>
          <w:lang w:val="fr-CA"/>
        </w:rPr>
        <w:lastRenderedPageBreak/>
        <w:t>accueille aussi maintenant les athlètes ayant une déficience intellectuelle.</w:t>
      </w:r>
      <w:r w:rsidR="006B0545" w:rsidRPr="00CB1763">
        <w:rPr>
          <w:rFonts w:cs="Arial"/>
          <w:sz w:val="24"/>
          <w:szCs w:val="24"/>
          <w:lang w:val="fr-CA"/>
        </w:rPr>
        <w:t xml:space="preserve"> </w:t>
      </w:r>
      <w:r w:rsidR="000A40A2" w:rsidRPr="00CB1763">
        <w:rPr>
          <w:rFonts w:cs="Arial"/>
          <w:sz w:val="24"/>
          <w:szCs w:val="24"/>
          <w:lang w:val="fr-CA"/>
        </w:rPr>
        <w:t>Le</w:t>
      </w:r>
      <w:r w:rsidR="006B0545" w:rsidRPr="00CB1763">
        <w:rPr>
          <w:rFonts w:cs="Arial"/>
          <w:sz w:val="24"/>
          <w:szCs w:val="24"/>
          <w:lang w:val="fr-CA"/>
        </w:rPr>
        <w:t xml:space="preserve"> Code</w:t>
      </w:r>
      <w:r w:rsidR="000A40A2" w:rsidRPr="00CB1763">
        <w:rPr>
          <w:rFonts w:cs="Arial"/>
          <w:sz w:val="24"/>
          <w:szCs w:val="24"/>
          <w:lang w:val="fr-CA"/>
        </w:rPr>
        <w:t xml:space="preserve"> de même que tous les documents explicatifs </w:t>
      </w:r>
      <w:r w:rsidR="00237BB8" w:rsidRPr="00CB1763">
        <w:rPr>
          <w:rFonts w:cs="Arial"/>
          <w:sz w:val="24"/>
          <w:szCs w:val="24"/>
          <w:lang w:val="fr-CA"/>
        </w:rPr>
        <w:t>produits</w:t>
      </w:r>
      <w:r w:rsidR="000A40A2" w:rsidRPr="00CB1763">
        <w:rPr>
          <w:rFonts w:cs="Arial"/>
          <w:sz w:val="24"/>
          <w:szCs w:val="24"/>
          <w:lang w:val="fr-CA"/>
        </w:rPr>
        <w:t xml:space="preserve"> par les membres du Comité doivent être</w:t>
      </w:r>
      <w:r w:rsidR="00237BB8" w:rsidRPr="00CB1763">
        <w:rPr>
          <w:rFonts w:cs="Arial"/>
          <w:sz w:val="24"/>
          <w:szCs w:val="24"/>
          <w:lang w:val="fr-CA"/>
        </w:rPr>
        <w:t xml:space="preserve"> rédigés dans un</w:t>
      </w:r>
      <w:r w:rsidR="00A500A3" w:rsidRPr="00CB1763">
        <w:rPr>
          <w:rFonts w:cs="Arial"/>
          <w:sz w:val="24"/>
          <w:szCs w:val="24"/>
          <w:lang w:val="fr-CA"/>
        </w:rPr>
        <w:t xml:space="preserve"> lang</w:t>
      </w:r>
      <w:r w:rsidR="00237BB8" w:rsidRPr="00CB1763">
        <w:rPr>
          <w:rFonts w:cs="Arial"/>
          <w:sz w:val="24"/>
          <w:szCs w:val="24"/>
          <w:lang w:val="fr-CA"/>
        </w:rPr>
        <w:t>age clair et simple</w:t>
      </w:r>
      <w:r w:rsidR="00B50394" w:rsidRPr="00CB1763">
        <w:rPr>
          <w:rFonts w:cs="Arial"/>
          <w:sz w:val="24"/>
          <w:szCs w:val="24"/>
          <w:lang w:val="fr-CA"/>
        </w:rPr>
        <w:t xml:space="preserve"> </w:t>
      </w:r>
      <w:r w:rsidR="00237BB8" w:rsidRPr="00CB1763">
        <w:rPr>
          <w:rFonts w:cs="Arial"/>
          <w:sz w:val="24"/>
          <w:szCs w:val="24"/>
          <w:lang w:val="fr-CA"/>
        </w:rPr>
        <w:t>pour s’as</w:t>
      </w:r>
      <w:r w:rsidR="000F3239">
        <w:rPr>
          <w:rFonts w:cs="Arial"/>
          <w:sz w:val="24"/>
          <w:szCs w:val="24"/>
          <w:lang w:val="fr-CA"/>
        </w:rPr>
        <w:t>surer que tous les athlètes du M</w:t>
      </w:r>
      <w:r w:rsidR="00237BB8" w:rsidRPr="00CB1763">
        <w:rPr>
          <w:rFonts w:cs="Arial"/>
          <w:sz w:val="24"/>
          <w:szCs w:val="24"/>
          <w:lang w:val="fr-CA"/>
        </w:rPr>
        <w:t>ouvement paralympique seront en mesure de bien comprendre. Le Code fait état des différentes o</w:t>
      </w:r>
      <w:r w:rsidR="006B0545" w:rsidRPr="00CB1763">
        <w:rPr>
          <w:rFonts w:cs="Arial"/>
          <w:sz w:val="24"/>
          <w:szCs w:val="24"/>
          <w:lang w:val="fr-CA"/>
        </w:rPr>
        <w:t xml:space="preserve">bligations </w:t>
      </w:r>
      <w:r w:rsidR="00237BB8" w:rsidRPr="00CB1763">
        <w:rPr>
          <w:rFonts w:cs="Arial"/>
          <w:sz w:val="24"/>
          <w:szCs w:val="24"/>
          <w:lang w:val="fr-CA"/>
        </w:rPr>
        <w:t>imposées aux athlètes.</w:t>
      </w:r>
      <w:r w:rsidR="006B0545" w:rsidRPr="00CB1763">
        <w:rPr>
          <w:rFonts w:cs="Arial"/>
          <w:sz w:val="24"/>
          <w:szCs w:val="24"/>
          <w:lang w:val="fr-CA"/>
        </w:rPr>
        <w:t xml:space="preserve"> </w:t>
      </w:r>
      <w:r w:rsidR="00E05D8D" w:rsidRPr="00CB1763">
        <w:rPr>
          <w:rFonts w:cs="Arial"/>
          <w:sz w:val="24"/>
          <w:szCs w:val="24"/>
          <w:lang w:val="fr-CA"/>
        </w:rPr>
        <w:t>Ces</w:t>
      </w:r>
      <w:r w:rsidR="006B0545" w:rsidRPr="00CB1763">
        <w:rPr>
          <w:rFonts w:cs="Arial"/>
          <w:sz w:val="24"/>
          <w:szCs w:val="24"/>
          <w:lang w:val="fr-CA"/>
        </w:rPr>
        <w:t xml:space="preserve"> obligations</w:t>
      </w:r>
      <w:r w:rsidR="00E05D8D" w:rsidRPr="00CB1763">
        <w:rPr>
          <w:rFonts w:cs="Arial"/>
          <w:sz w:val="24"/>
          <w:szCs w:val="24"/>
          <w:lang w:val="fr-CA"/>
        </w:rPr>
        <w:t xml:space="preserve"> doivent être parfaitement bien comprises de tous les athlè</w:t>
      </w:r>
      <w:r w:rsidR="006B0545" w:rsidRPr="00CB1763">
        <w:rPr>
          <w:rFonts w:cs="Arial"/>
          <w:sz w:val="24"/>
          <w:szCs w:val="24"/>
          <w:lang w:val="fr-CA"/>
        </w:rPr>
        <w:t xml:space="preserve">tes </w:t>
      </w:r>
      <w:r w:rsidR="00E05D8D" w:rsidRPr="00CB1763">
        <w:rPr>
          <w:rFonts w:cs="Arial"/>
          <w:sz w:val="24"/>
          <w:szCs w:val="24"/>
          <w:lang w:val="fr-CA"/>
        </w:rPr>
        <w:t>afin de s’assurer que les décisions des responsables de la classification ne pourront être portées en appel</w:t>
      </w:r>
      <w:r w:rsidR="006B0545" w:rsidRPr="00CB1763">
        <w:rPr>
          <w:rFonts w:cs="Arial"/>
          <w:sz w:val="24"/>
          <w:szCs w:val="24"/>
          <w:lang w:val="fr-CA"/>
        </w:rPr>
        <w:t xml:space="preserve"> </w:t>
      </w:r>
      <w:r w:rsidR="00E05D8D" w:rsidRPr="00CB1763">
        <w:rPr>
          <w:rFonts w:cs="Arial"/>
          <w:sz w:val="24"/>
          <w:szCs w:val="24"/>
          <w:lang w:val="fr-CA"/>
        </w:rPr>
        <w:t>en raison d’allé</w:t>
      </w:r>
      <w:r w:rsidR="006B0545" w:rsidRPr="00CB1763">
        <w:rPr>
          <w:rFonts w:cs="Arial"/>
          <w:sz w:val="24"/>
          <w:szCs w:val="24"/>
          <w:lang w:val="fr-CA"/>
        </w:rPr>
        <w:t xml:space="preserve">gations </w:t>
      </w:r>
      <w:r w:rsidR="00E05D8D" w:rsidRPr="00CB1763">
        <w:rPr>
          <w:rFonts w:cs="Arial"/>
          <w:sz w:val="24"/>
          <w:szCs w:val="24"/>
          <w:lang w:val="fr-CA"/>
        </w:rPr>
        <w:t>qu’un athlète était incapable de comprendre ou de se conformer à ses</w:t>
      </w:r>
      <w:r w:rsidR="006B0545" w:rsidRPr="00CB1763">
        <w:rPr>
          <w:rFonts w:cs="Arial"/>
          <w:sz w:val="24"/>
          <w:szCs w:val="24"/>
          <w:lang w:val="fr-CA"/>
        </w:rPr>
        <w:t xml:space="preserve"> </w:t>
      </w:r>
      <w:r w:rsidR="00B50394" w:rsidRPr="00CB1763">
        <w:rPr>
          <w:rFonts w:cs="Arial"/>
          <w:sz w:val="24"/>
          <w:szCs w:val="24"/>
          <w:lang w:val="fr-CA"/>
        </w:rPr>
        <w:t>obligations</w:t>
      </w:r>
      <w:r w:rsidR="006B0545" w:rsidRPr="00CB1763">
        <w:rPr>
          <w:rFonts w:cs="Arial"/>
          <w:sz w:val="24"/>
          <w:szCs w:val="24"/>
          <w:lang w:val="fr-CA"/>
        </w:rPr>
        <w:t>.</w:t>
      </w:r>
    </w:p>
    <w:p w:rsidR="00037E88" w:rsidRPr="00CB1763" w:rsidRDefault="00037E88" w:rsidP="00037E88">
      <w:pPr>
        <w:pStyle w:val="ListParagraph"/>
        <w:rPr>
          <w:rFonts w:cs="Arial"/>
          <w:sz w:val="24"/>
          <w:szCs w:val="24"/>
          <w:lang w:val="fr-CA"/>
        </w:rPr>
      </w:pPr>
    </w:p>
    <w:p w:rsidR="006B0545" w:rsidRPr="00CB1763" w:rsidRDefault="00B24EDC" w:rsidP="00F7414D">
      <w:pPr>
        <w:pStyle w:val="ListParagraph"/>
        <w:numPr>
          <w:ilvl w:val="0"/>
          <w:numId w:val="8"/>
        </w:numPr>
        <w:ind w:left="360"/>
        <w:rPr>
          <w:rFonts w:cs="Arial"/>
          <w:sz w:val="24"/>
          <w:szCs w:val="24"/>
          <w:lang w:val="fr-CA"/>
        </w:rPr>
      </w:pPr>
      <w:r w:rsidRPr="00CB1763">
        <w:rPr>
          <w:rFonts w:cs="Arial"/>
          <w:sz w:val="24"/>
          <w:szCs w:val="24"/>
          <w:lang w:val="fr-CA"/>
        </w:rPr>
        <w:t>L’accessibilité du</w:t>
      </w:r>
      <w:r w:rsidR="00FA6BCC" w:rsidRPr="00CB1763">
        <w:rPr>
          <w:rFonts w:cs="Arial"/>
          <w:sz w:val="24"/>
          <w:szCs w:val="24"/>
          <w:lang w:val="fr-CA"/>
        </w:rPr>
        <w:t xml:space="preserve"> </w:t>
      </w:r>
      <w:r w:rsidR="006B0545" w:rsidRPr="00CB1763">
        <w:rPr>
          <w:rFonts w:cs="Arial"/>
          <w:sz w:val="24"/>
          <w:szCs w:val="24"/>
          <w:lang w:val="fr-CA"/>
        </w:rPr>
        <w:t xml:space="preserve">Code </w:t>
      </w:r>
      <w:r w:rsidRPr="00CB1763">
        <w:rPr>
          <w:rFonts w:cs="Arial"/>
          <w:sz w:val="24"/>
          <w:szCs w:val="24"/>
          <w:lang w:val="fr-CA"/>
        </w:rPr>
        <w:t>est également importante pour les athlè</w:t>
      </w:r>
      <w:r w:rsidR="006B0545" w:rsidRPr="00CB1763">
        <w:rPr>
          <w:rFonts w:cs="Arial"/>
          <w:sz w:val="24"/>
          <w:szCs w:val="24"/>
          <w:lang w:val="fr-CA"/>
        </w:rPr>
        <w:t xml:space="preserve">tes </w:t>
      </w:r>
      <w:r w:rsidRPr="00CB1763">
        <w:rPr>
          <w:rFonts w:cs="Arial"/>
          <w:sz w:val="24"/>
          <w:szCs w:val="24"/>
          <w:lang w:val="fr-CA"/>
        </w:rPr>
        <w:t>ayant une déficience visuelle.</w:t>
      </w:r>
      <w:r w:rsidR="006B0545" w:rsidRPr="00CB1763">
        <w:rPr>
          <w:rFonts w:cs="Arial"/>
          <w:sz w:val="24"/>
          <w:szCs w:val="24"/>
          <w:lang w:val="fr-CA"/>
        </w:rPr>
        <w:t xml:space="preserve"> </w:t>
      </w:r>
      <w:r w:rsidRPr="00CB1763">
        <w:rPr>
          <w:rFonts w:cs="Arial"/>
          <w:sz w:val="24"/>
          <w:szCs w:val="24"/>
          <w:lang w:val="fr-CA"/>
        </w:rPr>
        <w:t>Outre la présentation du document final en format PDF</w:t>
      </w:r>
      <w:r w:rsidR="006B0545" w:rsidRPr="00CB1763">
        <w:rPr>
          <w:rFonts w:cs="Arial"/>
          <w:sz w:val="24"/>
          <w:szCs w:val="24"/>
          <w:lang w:val="fr-CA"/>
        </w:rPr>
        <w:t xml:space="preserve">, </w:t>
      </w:r>
      <w:r w:rsidRPr="00CB1763">
        <w:rPr>
          <w:rFonts w:cs="Arial"/>
          <w:sz w:val="24"/>
          <w:szCs w:val="24"/>
          <w:lang w:val="fr-CA"/>
        </w:rPr>
        <w:t>ce dernier devrait également être disponible en format</w:t>
      </w:r>
      <w:r w:rsidR="006B0545" w:rsidRPr="00CB1763">
        <w:rPr>
          <w:rFonts w:cs="Arial"/>
          <w:sz w:val="24"/>
          <w:szCs w:val="24"/>
          <w:lang w:val="fr-CA"/>
        </w:rPr>
        <w:t xml:space="preserve"> </w:t>
      </w:r>
      <w:r w:rsidRPr="00CB1763">
        <w:rPr>
          <w:rFonts w:cs="Arial"/>
          <w:sz w:val="24"/>
          <w:szCs w:val="24"/>
          <w:lang w:val="fr-CA"/>
        </w:rPr>
        <w:t>HTML, pour que les personnes aveugles ou ayant une déficience visuelle puissent y avoir accès à l’aide d’un téléphone intelligent ou autre appareil mobile.</w:t>
      </w:r>
      <w:r w:rsidR="006B0545" w:rsidRPr="00CB1763">
        <w:rPr>
          <w:rFonts w:cs="Arial"/>
          <w:sz w:val="24"/>
          <w:szCs w:val="24"/>
          <w:lang w:val="fr-CA"/>
        </w:rPr>
        <w:t xml:space="preserve"> </w:t>
      </w:r>
      <w:r w:rsidRPr="00CB1763">
        <w:rPr>
          <w:rFonts w:cs="Arial"/>
          <w:sz w:val="24"/>
          <w:szCs w:val="24"/>
          <w:lang w:val="fr-CA"/>
        </w:rPr>
        <w:t>À l’heure actuelle, les personnes aveugles ou ayant une déficience visuelle n’ont pas toujours la possibilité de consulter des documents PDF</w:t>
      </w:r>
      <w:r w:rsidR="0083584A" w:rsidRPr="00CB1763">
        <w:rPr>
          <w:rFonts w:cs="Arial"/>
          <w:sz w:val="24"/>
          <w:szCs w:val="24"/>
          <w:lang w:val="fr-CA"/>
        </w:rPr>
        <w:t xml:space="preserve"> sur ce type d’appareils.</w:t>
      </w:r>
      <w:r w:rsidR="006B0545" w:rsidRPr="00CB1763">
        <w:rPr>
          <w:rFonts w:cs="Arial"/>
          <w:sz w:val="24"/>
          <w:szCs w:val="24"/>
          <w:lang w:val="fr-CA"/>
        </w:rPr>
        <w:t xml:space="preserve"> </w:t>
      </w:r>
      <w:r w:rsidR="0083584A" w:rsidRPr="00CB1763">
        <w:rPr>
          <w:rFonts w:cs="Arial"/>
          <w:sz w:val="24"/>
          <w:szCs w:val="24"/>
          <w:lang w:val="fr-CA"/>
        </w:rPr>
        <w:t>Et davantage encore si le document PDF est sauvegardé</w:t>
      </w:r>
      <w:r w:rsidR="006B0545" w:rsidRPr="00CB1763">
        <w:rPr>
          <w:rFonts w:cs="Arial"/>
          <w:sz w:val="24"/>
          <w:szCs w:val="24"/>
          <w:lang w:val="fr-CA"/>
        </w:rPr>
        <w:t xml:space="preserve"> </w:t>
      </w:r>
      <w:r w:rsidR="0083584A" w:rsidRPr="00CB1763">
        <w:rPr>
          <w:rFonts w:cs="Arial"/>
          <w:sz w:val="24"/>
          <w:szCs w:val="24"/>
          <w:lang w:val="fr-CA"/>
        </w:rPr>
        <w:t>en format-image. Un document en format</w:t>
      </w:r>
      <w:r w:rsidR="006B0545" w:rsidRPr="00CB1763">
        <w:rPr>
          <w:rFonts w:cs="Arial"/>
          <w:sz w:val="24"/>
          <w:szCs w:val="24"/>
          <w:lang w:val="fr-CA"/>
        </w:rPr>
        <w:t xml:space="preserve"> </w:t>
      </w:r>
      <w:r w:rsidR="00FA6BCC" w:rsidRPr="00CB1763">
        <w:rPr>
          <w:rFonts w:cs="Arial"/>
          <w:sz w:val="24"/>
          <w:szCs w:val="24"/>
          <w:lang w:val="fr-CA"/>
        </w:rPr>
        <w:t xml:space="preserve">HTML </w:t>
      </w:r>
      <w:r w:rsidR="0083584A" w:rsidRPr="00CB1763">
        <w:rPr>
          <w:rFonts w:cs="Arial"/>
          <w:sz w:val="24"/>
          <w:szCs w:val="24"/>
          <w:lang w:val="fr-CA"/>
        </w:rPr>
        <w:t>est accessible à tous les athlètes, peu importe le type d’appareil utilisé.</w:t>
      </w:r>
    </w:p>
    <w:p w:rsidR="00037E88" w:rsidRPr="00CB1763" w:rsidRDefault="00037E88" w:rsidP="00037E88">
      <w:pPr>
        <w:pStyle w:val="ListParagraph"/>
        <w:ind w:left="360" w:hanging="360"/>
        <w:rPr>
          <w:rFonts w:cs="Arial"/>
          <w:sz w:val="24"/>
          <w:szCs w:val="24"/>
          <w:lang w:val="fr-CA"/>
        </w:rPr>
      </w:pPr>
    </w:p>
    <w:p w:rsidR="006B0545" w:rsidRPr="00CB1763" w:rsidRDefault="0083584A" w:rsidP="00F7414D">
      <w:pPr>
        <w:pStyle w:val="ListParagraph"/>
        <w:numPr>
          <w:ilvl w:val="0"/>
          <w:numId w:val="8"/>
        </w:numPr>
        <w:ind w:left="360"/>
        <w:rPr>
          <w:rFonts w:cs="Arial"/>
          <w:sz w:val="24"/>
          <w:szCs w:val="24"/>
          <w:lang w:val="fr-CA"/>
        </w:rPr>
      </w:pPr>
      <w:r w:rsidRPr="00CB1763">
        <w:rPr>
          <w:rFonts w:cs="Arial"/>
          <w:sz w:val="24"/>
          <w:szCs w:val="24"/>
          <w:lang w:val="fr-CA"/>
        </w:rPr>
        <w:t xml:space="preserve">La numérotation des dispositions du Code porte à confusion, surtout pour les personnes qui y ont accès </w:t>
      </w:r>
      <w:r w:rsidR="00E32514" w:rsidRPr="00CB1763">
        <w:rPr>
          <w:rFonts w:cs="Arial"/>
          <w:sz w:val="24"/>
          <w:szCs w:val="24"/>
          <w:lang w:val="fr-CA"/>
        </w:rPr>
        <w:t>par l’entremise de la technologie vocale,</w:t>
      </w:r>
      <w:r w:rsidR="006B0545" w:rsidRPr="00CB1763">
        <w:rPr>
          <w:rFonts w:cs="Arial"/>
          <w:sz w:val="24"/>
          <w:szCs w:val="24"/>
          <w:lang w:val="fr-CA"/>
        </w:rPr>
        <w:t xml:space="preserve"> </w:t>
      </w:r>
      <w:r w:rsidR="00E32514" w:rsidRPr="00CB1763">
        <w:rPr>
          <w:rFonts w:cs="Arial"/>
          <w:sz w:val="24"/>
          <w:szCs w:val="24"/>
          <w:lang w:val="fr-CA"/>
        </w:rPr>
        <w:t>car elle fournit des informations superflues</w:t>
      </w:r>
      <w:r w:rsidRPr="00CB1763">
        <w:rPr>
          <w:rFonts w:cs="Arial"/>
          <w:sz w:val="24"/>
          <w:szCs w:val="24"/>
          <w:lang w:val="fr-CA"/>
        </w:rPr>
        <w:t>. Par exe</w:t>
      </w:r>
      <w:r w:rsidR="006B0545" w:rsidRPr="00CB1763">
        <w:rPr>
          <w:rFonts w:cs="Arial"/>
          <w:sz w:val="24"/>
          <w:szCs w:val="24"/>
          <w:lang w:val="fr-CA"/>
        </w:rPr>
        <w:t xml:space="preserve">mple, </w:t>
      </w:r>
      <w:r w:rsidRPr="00CB1763">
        <w:rPr>
          <w:rFonts w:cs="Arial"/>
          <w:sz w:val="24"/>
          <w:szCs w:val="24"/>
          <w:lang w:val="fr-CA"/>
        </w:rPr>
        <w:t xml:space="preserve">la </w:t>
      </w:r>
      <w:r w:rsidR="006B0545" w:rsidRPr="00CB1763">
        <w:rPr>
          <w:rFonts w:cs="Arial"/>
          <w:sz w:val="24"/>
          <w:szCs w:val="24"/>
          <w:lang w:val="fr-CA"/>
        </w:rPr>
        <w:t xml:space="preserve">Section 10.2 </w:t>
      </w:r>
      <w:r w:rsidR="00E32514" w:rsidRPr="00CB1763">
        <w:rPr>
          <w:rFonts w:cs="Arial"/>
          <w:sz w:val="24"/>
          <w:szCs w:val="24"/>
          <w:lang w:val="fr-CA"/>
        </w:rPr>
        <w:t xml:space="preserve">qui porte sur les athlètes qui refusent de collaborer pendant le processus de classification </w:t>
      </w:r>
      <w:r w:rsidR="002976F9" w:rsidRPr="00CB1763">
        <w:rPr>
          <w:rFonts w:cs="Arial"/>
          <w:sz w:val="24"/>
          <w:szCs w:val="24"/>
          <w:lang w:val="fr-CA"/>
        </w:rPr>
        <w:t>obéit à deux commandes vocales, soit l</w:t>
      </w:r>
      <w:r w:rsidR="00E32514" w:rsidRPr="00CB1763">
        <w:rPr>
          <w:rFonts w:cs="Arial"/>
          <w:sz w:val="24"/>
          <w:szCs w:val="24"/>
          <w:lang w:val="fr-CA"/>
        </w:rPr>
        <w:t xml:space="preserve">es </w:t>
      </w:r>
      <w:r w:rsidR="002976F9" w:rsidRPr="00CB1763">
        <w:rPr>
          <w:rFonts w:cs="Arial"/>
          <w:sz w:val="24"/>
          <w:szCs w:val="24"/>
          <w:lang w:val="fr-CA"/>
        </w:rPr>
        <w:t>lecteurs d’écran</w:t>
      </w:r>
      <w:r w:rsidR="006B0545" w:rsidRPr="00CB1763">
        <w:rPr>
          <w:rFonts w:cs="Arial"/>
          <w:sz w:val="24"/>
          <w:szCs w:val="24"/>
          <w:lang w:val="fr-CA"/>
        </w:rPr>
        <w:t xml:space="preserve"> Jaws </w:t>
      </w:r>
      <w:r w:rsidR="002976F9" w:rsidRPr="00CB1763">
        <w:rPr>
          <w:rFonts w:cs="Arial"/>
          <w:sz w:val="24"/>
          <w:szCs w:val="24"/>
          <w:lang w:val="fr-CA"/>
        </w:rPr>
        <w:t>et d’accès au système, ce qui donne</w:t>
      </w:r>
      <w:r w:rsidR="006B0545" w:rsidRPr="00CB1763">
        <w:rPr>
          <w:rFonts w:cs="Arial"/>
          <w:sz w:val="24"/>
          <w:szCs w:val="24"/>
          <w:lang w:val="fr-CA"/>
        </w:rPr>
        <w:t xml:space="preserve"> 10.2 52B, </w:t>
      </w:r>
      <w:r w:rsidR="002976F9" w:rsidRPr="00CB1763">
        <w:rPr>
          <w:rFonts w:cs="Arial"/>
          <w:sz w:val="24"/>
          <w:szCs w:val="24"/>
          <w:lang w:val="fr-CA"/>
        </w:rPr>
        <w:t>suivie immédiatement du texte sous forme de jeu de caractères</w:t>
      </w:r>
      <w:r w:rsidR="00E32514" w:rsidRPr="00CB1763">
        <w:rPr>
          <w:rFonts w:cs="Arial"/>
          <w:sz w:val="24"/>
          <w:szCs w:val="24"/>
          <w:lang w:val="fr-CA"/>
        </w:rPr>
        <w:t>. L’ACSA</w:t>
      </w:r>
      <w:r w:rsidR="006B0545" w:rsidRPr="00CB1763">
        <w:rPr>
          <w:rFonts w:cs="Arial"/>
          <w:sz w:val="24"/>
          <w:szCs w:val="24"/>
          <w:lang w:val="fr-CA"/>
        </w:rPr>
        <w:t xml:space="preserve"> </w:t>
      </w:r>
      <w:r w:rsidR="00E32514" w:rsidRPr="00CB1763">
        <w:rPr>
          <w:rFonts w:cs="Arial"/>
          <w:sz w:val="24"/>
          <w:szCs w:val="24"/>
          <w:lang w:val="fr-CA"/>
        </w:rPr>
        <w:t>propose de supprimer cette information superflue et de prévoir un espacement adéquat entre le numéro de la disposition et le début du texte.</w:t>
      </w:r>
      <w:r w:rsidR="006B0545" w:rsidRPr="00CB1763">
        <w:rPr>
          <w:rFonts w:cs="Arial"/>
          <w:sz w:val="24"/>
          <w:szCs w:val="24"/>
          <w:lang w:val="fr-CA"/>
        </w:rPr>
        <w:t xml:space="preserve"> </w:t>
      </w:r>
      <w:r w:rsidR="002976F9" w:rsidRPr="00CB1763">
        <w:rPr>
          <w:rFonts w:cs="Arial"/>
          <w:sz w:val="24"/>
          <w:szCs w:val="24"/>
          <w:lang w:val="fr-CA"/>
        </w:rPr>
        <w:t>Cela permettra d’élim</w:t>
      </w:r>
      <w:r w:rsidR="002A2650" w:rsidRPr="00CB1763">
        <w:rPr>
          <w:rFonts w:cs="Arial"/>
          <w:sz w:val="24"/>
          <w:szCs w:val="24"/>
          <w:lang w:val="fr-CA"/>
        </w:rPr>
        <w:t>iner un certain nombre de mauvaises prononciations et de</w:t>
      </w:r>
      <w:r w:rsidR="006B0545" w:rsidRPr="00CB1763">
        <w:rPr>
          <w:rFonts w:cs="Arial"/>
          <w:sz w:val="24"/>
          <w:szCs w:val="24"/>
          <w:lang w:val="fr-CA"/>
        </w:rPr>
        <w:t xml:space="preserve"> distractions </w:t>
      </w:r>
      <w:r w:rsidR="002A2650" w:rsidRPr="00CB1763">
        <w:rPr>
          <w:rFonts w:cs="Arial"/>
          <w:sz w:val="24"/>
          <w:szCs w:val="24"/>
          <w:lang w:val="fr-CA"/>
        </w:rPr>
        <w:t>pour le lecteur résultant de la présence de ces informations superflues</w:t>
      </w:r>
      <w:r w:rsidR="006B0545" w:rsidRPr="00CB1763">
        <w:rPr>
          <w:rFonts w:cs="Arial"/>
          <w:sz w:val="24"/>
          <w:szCs w:val="24"/>
          <w:lang w:val="fr-CA"/>
        </w:rPr>
        <w:t xml:space="preserve">. </w:t>
      </w:r>
      <w:r w:rsidR="002A2650" w:rsidRPr="00CB1763">
        <w:rPr>
          <w:rFonts w:cs="Arial"/>
          <w:sz w:val="24"/>
          <w:szCs w:val="24"/>
          <w:lang w:val="fr-CA"/>
        </w:rPr>
        <w:t>Même si ces caractères additionnels font en sorte que le Code soit plus attrayant sur le plan visuel, ils posent un problème de taille et constituent un obstacle d’importance pour les athlètes aveugles.</w:t>
      </w:r>
      <w:r w:rsidR="0068555D" w:rsidRPr="00CB1763">
        <w:rPr>
          <w:rFonts w:cs="Arial"/>
          <w:sz w:val="24"/>
          <w:szCs w:val="24"/>
          <w:lang w:val="fr-CA"/>
        </w:rPr>
        <w:t xml:space="preserve"> </w:t>
      </w:r>
      <w:r w:rsidR="00FB7333" w:rsidRPr="00CB1763">
        <w:rPr>
          <w:rFonts w:cs="Arial"/>
          <w:sz w:val="24"/>
          <w:szCs w:val="24"/>
          <w:lang w:val="fr-CA"/>
        </w:rPr>
        <w:t xml:space="preserve">Il est tout à fait </w:t>
      </w:r>
      <w:r w:rsidR="0068555D" w:rsidRPr="00CB1763">
        <w:rPr>
          <w:rFonts w:cs="Arial"/>
          <w:sz w:val="24"/>
          <w:szCs w:val="24"/>
          <w:lang w:val="fr-CA"/>
        </w:rPr>
        <w:t>acceptable</w:t>
      </w:r>
      <w:r w:rsidR="00FB7333" w:rsidRPr="00CB1763">
        <w:rPr>
          <w:rFonts w:cs="Arial"/>
          <w:sz w:val="24"/>
          <w:szCs w:val="24"/>
          <w:lang w:val="fr-CA"/>
        </w:rPr>
        <w:t xml:space="preserve"> de numéroter les dispositions</w:t>
      </w:r>
      <w:r w:rsidR="0068555D" w:rsidRPr="00CB1763">
        <w:rPr>
          <w:rFonts w:cs="Arial"/>
          <w:sz w:val="24"/>
          <w:szCs w:val="24"/>
          <w:lang w:val="fr-CA"/>
        </w:rPr>
        <w:t xml:space="preserve"> </w:t>
      </w:r>
      <w:r w:rsidR="00FB7333" w:rsidRPr="00CB1763">
        <w:rPr>
          <w:rFonts w:cs="Arial"/>
          <w:sz w:val="24"/>
          <w:szCs w:val="24"/>
          <w:lang w:val="fr-CA"/>
        </w:rPr>
        <w:t>comme cela se fait dans les Normes</w:t>
      </w:r>
      <w:r w:rsidR="0068555D" w:rsidRPr="00CB1763">
        <w:rPr>
          <w:rFonts w:cs="Arial"/>
          <w:sz w:val="24"/>
          <w:szCs w:val="24"/>
          <w:lang w:val="fr-CA"/>
        </w:rPr>
        <w:t xml:space="preserve"> </w:t>
      </w:r>
      <w:r w:rsidR="00FB7333" w:rsidRPr="00CB1763">
        <w:rPr>
          <w:rFonts w:cs="Arial"/>
          <w:sz w:val="24"/>
          <w:szCs w:val="24"/>
          <w:lang w:val="fr-CA"/>
        </w:rPr>
        <w:t>i</w:t>
      </w:r>
      <w:r w:rsidR="00FA6BCC" w:rsidRPr="00CB1763">
        <w:rPr>
          <w:rFonts w:cs="Arial"/>
          <w:sz w:val="24"/>
          <w:szCs w:val="24"/>
          <w:lang w:val="fr-CA"/>
        </w:rPr>
        <w:t>nternational</w:t>
      </w:r>
      <w:r w:rsidR="00FB7333" w:rsidRPr="00CB1763">
        <w:rPr>
          <w:rFonts w:cs="Arial"/>
          <w:sz w:val="24"/>
          <w:szCs w:val="24"/>
          <w:lang w:val="fr-CA"/>
        </w:rPr>
        <w:t>es</w:t>
      </w:r>
      <w:r w:rsidR="00FA6BCC" w:rsidRPr="00CB1763">
        <w:rPr>
          <w:rFonts w:cs="Arial"/>
          <w:sz w:val="24"/>
          <w:szCs w:val="24"/>
          <w:lang w:val="fr-CA"/>
        </w:rPr>
        <w:t xml:space="preserve"> </w:t>
      </w:r>
      <w:r w:rsidR="0068555D" w:rsidRPr="00CB1763">
        <w:rPr>
          <w:rFonts w:cs="Arial"/>
          <w:sz w:val="24"/>
          <w:szCs w:val="24"/>
          <w:lang w:val="fr-CA"/>
        </w:rPr>
        <w:t xml:space="preserve">: </w:t>
      </w:r>
      <w:r w:rsidR="00FB7333" w:rsidRPr="00CB1763">
        <w:rPr>
          <w:rFonts w:cs="Arial"/>
          <w:sz w:val="24"/>
          <w:szCs w:val="24"/>
          <w:lang w:val="fr-CA"/>
        </w:rPr>
        <w:t>protêts et appels</w:t>
      </w:r>
      <w:r w:rsidR="0068555D" w:rsidRPr="00CB1763">
        <w:rPr>
          <w:rFonts w:cs="Arial"/>
          <w:sz w:val="24"/>
          <w:szCs w:val="24"/>
          <w:lang w:val="fr-CA"/>
        </w:rPr>
        <w:t xml:space="preserve">, </w:t>
      </w:r>
      <w:r w:rsidR="00FB7333" w:rsidRPr="00CB1763">
        <w:rPr>
          <w:rFonts w:cs="Arial"/>
          <w:sz w:val="24"/>
          <w:szCs w:val="24"/>
          <w:lang w:val="fr-CA"/>
        </w:rPr>
        <w:t xml:space="preserve">étant donné qu’il est beaucoup plus facile de lire ce document à l’aide des lecteurs d’écran </w:t>
      </w:r>
      <w:r w:rsidR="00DE2CBD" w:rsidRPr="00CB1763">
        <w:rPr>
          <w:rFonts w:cs="Arial"/>
          <w:sz w:val="24"/>
          <w:szCs w:val="24"/>
          <w:lang w:val="fr-CA"/>
        </w:rPr>
        <w:t>mentionnés ci-dessus</w:t>
      </w:r>
      <w:r w:rsidR="002A2650" w:rsidRPr="00CB1763">
        <w:rPr>
          <w:rFonts w:cs="Arial"/>
          <w:sz w:val="24"/>
          <w:szCs w:val="24"/>
          <w:lang w:val="fr-CA"/>
        </w:rPr>
        <w:t>.</w:t>
      </w:r>
    </w:p>
    <w:p w:rsidR="00373D29" w:rsidRPr="00CB1763" w:rsidRDefault="00CD33C3" w:rsidP="00373D29">
      <w:pPr>
        <w:pStyle w:val="Heading1"/>
        <w:numPr>
          <w:ilvl w:val="0"/>
          <w:numId w:val="10"/>
        </w:numPr>
        <w:spacing w:before="240" w:after="240"/>
        <w:ind w:left="360" w:hanging="360"/>
        <w:rPr>
          <w:rFonts w:eastAsia="Times New Roman"/>
          <w:lang w:val="fr-CA"/>
        </w:rPr>
      </w:pPr>
      <w:bookmarkStart w:id="18" w:name="_Toc368318350"/>
      <w:r w:rsidRPr="00CB1763">
        <w:rPr>
          <w:rFonts w:eastAsia="Times New Roman"/>
          <w:lang w:val="fr-CA"/>
        </w:rPr>
        <w:t>Norme i</w:t>
      </w:r>
      <w:r w:rsidR="00373D29" w:rsidRPr="00CB1763">
        <w:rPr>
          <w:rFonts w:eastAsia="Times New Roman"/>
          <w:lang w:val="fr-CA"/>
        </w:rPr>
        <w:t>nternational</w:t>
      </w:r>
      <w:r w:rsidRPr="00CB1763">
        <w:rPr>
          <w:rFonts w:eastAsia="Times New Roman"/>
          <w:lang w:val="fr-CA"/>
        </w:rPr>
        <w:t>e sur l’évaluation des athlè</w:t>
      </w:r>
      <w:r w:rsidR="00373D29" w:rsidRPr="00CB1763">
        <w:rPr>
          <w:rFonts w:eastAsia="Times New Roman"/>
          <w:lang w:val="fr-CA"/>
        </w:rPr>
        <w:t>te</w:t>
      </w:r>
      <w:r w:rsidRPr="00CB1763">
        <w:rPr>
          <w:rFonts w:eastAsia="Times New Roman"/>
          <w:lang w:val="fr-CA"/>
        </w:rPr>
        <w:t>s</w:t>
      </w:r>
      <w:bookmarkEnd w:id="18"/>
    </w:p>
    <w:p w:rsidR="00373D29" w:rsidRPr="00CB1763" w:rsidRDefault="00CD33C3" w:rsidP="00373D29">
      <w:pPr>
        <w:pStyle w:val="Heading2"/>
        <w:numPr>
          <w:ilvl w:val="0"/>
          <w:numId w:val="11"/>
        </w:numPr>
        <w:rPr>
          <w:rFonts w:eastAsia="Times New Roman"/>
          <w:lang w:val="fr-CA"/>
        </w:rPr>
      </w:pPr>
      <w:bookmarkStart w:id="19" w:name="_Toc368318351"/>
      <w:r w:rsidRPr="00CB1763">
        <w:rPr>
          <w:rFonts w:eastAsia="Times New Roman"/>
          <w:lang w:val="fr-CA"/>
        </w:rPr>
        <w:t>Accessibilité</w:t>
      </w:r>
      <w:r w:rsidR="00373D29" w:rsidRPr="00CB1763">
        <w:rPr>
          <w:rFonts w:eastAsia="Times New Roman"/>
          <w:lang w:val="fr-CA"/>
        </w:rPr>
        <w:t xml:space="preserve"> </w:t>
      </w:r>
      <w:r w:rsidRPr="00CB1763">
        <w:rPr>
          <w:rFonts w:eastAsia="Times New Roman"/>
          <w:lang w:val="fr-CA"/>
        </w:rPr>
        <w:t>des règlements</w:t>
      </w:r>
      <w:r w:rsidR="00373D29" w:rsidRPr="00CB1763">
        <w:rPr>
          <w:rFonts w:eastAsia="Times New Roman"/>
          <w:lang w:val="fr-CA"/>
        </w:rPr>
        <w:t xml:space="preserve"> (</w:t>
      </w:r>
      <w:r w:rsidRPr="00CB1763">
        <w:rPr>
          <w:rFonts w:eastAsia="Times New Roman"/>
          <w:lang w:val="fr-CA"/>
        </w:rPr>
        <w:t>Norme i</w:t>
      </w:r>
      <w:r w:rsidR="00373D29" w:rsidRPr="00CB1763">
        <w:rPr>
          <w:rFonts w:eastAsia="Times New Roman"/>
          <w:lang w:val="fr-CA"/>
        </w:rPr>
        <w:t>nternational</w:t>
      </w:r>
      <w:r w:rsidRPr="00CB1763">
        <w:rPr>
          <w:rFonts w:eastAsia="Times New Roman"/>
          <w:lang w:val="fr-CA"/>
        </w:rPr>
        <w:t>e</w:t>
      </w:r>
      <w:r w:rsidR="00373D29" w:rsidRPr="00CB1763">
        <w:rPr>
          <w:rFonts w:eastAsia="Times New Roman"/>
          <w:lang w:val="fr-CA"/>
        </w:rPr>
        <w:t xml:space="preserve"> </w:t>
      </w:r>
      <w:r w:rsidRPr="00CB1763">
        <w:rPr>
          <w:rFonts w:eastAsia="Times New Roman"/>
          <w:lang w:val="fr-CA"/>
        </w:rPr>
        <w:t>sur l’évaluation des athlètes</w:t>
      </w:r>
      <w:r w:rsidR="00373D29" w:rsidRPr="00CB1763">
        <w:rPr>
          <w:rFonts w:eastAsia="Times New Roman"/>
          <w:lang w:val="fr-CA"/>
        </w:rPr>
        <w:t>, Sect. 2.6)</w:t>
      </w:r>
      <w:bookmarkEnd w:id="19"/>
    </w:p>
    <w:p w:rsidR="00373D29" w:rsidRPr="00CB1763" w:rsidRDefault="00E4193F" w:rsidP="00373D29">
      <w:pPr>
        <w:pStyle w:val="ListParagraph"/>
        <w:numPr>
          <w:ilvl w:val="0"/>
          <w:numId w:val="8"/>
        </w:numPr>
        <w:spacing w:before="240" w:after="240"/>
        <w:ind w:left="360"/>
        <w:rPr>
          <w:rFonts w:cs="Arial"/>
          <w:sz w:val="24"/>
          <w:szCs w:val="24"/>
          <w:lang w:val="fr-CA"/>
        </w:rPr>
      </w:pPr>
      <w:r w:rsidRPr="00CB1763">
        <w:rPr>
          <w:rFonts w:cs="Arial"/>
          <w:sz w:val="24"/>
          <w:szCs w:val="24"/>
          <w:lang w:val="fr-CA"/>
        </w:rPr>
        <w:t>L’expression « format facilement</w:t>
      </w:r>
      <w:r w:rsidR="00373D29" w:rsidRPr="00CB1763">
        <w:rPr>
          <w:rFonts w:cs="Arial"/>
          <w:sz w:val="24"/>
          <w:szCs w:val="24"/>
          <w:lang w:val="fr-CA"/>
        </w:rPr>
        <w:t xml:space="preserve"> accessib</w:t>
      </w:r>
      <w:r w:rsidR="00CD33C3" w:rsidRPr="00CB1763">
        <w:rPr>
          <w:rFonts w:cs="Arial"/>
          <w:sz w:val="24"/>
          <w:szCs w:val="24"/>
          <w:lang w:val="fr-CA"/>
        </w:rPr>
        <w:t>le</w:t>
      </w:r>
      <w:r w:rsidRPr="00CB1763">
        <w:rPr>
          <w:rFonts w:cs="Arial"/>
          <w:sz w:val="24"/>
          <w:szCs w:val="24"/>
          <w:lang w:val="fr-CA"/>
        </w:rPr>
        <w:t> »</w:t>
      </w:r>
      <w:r w:rsidR="00CD33C3" w:rsidRPr="00CB1763">
        <w:rPr>
          <w:rFonts w:cs="Arial"/>
          <w:sz w:val="24"/>
          <w:szCs w:val="24"/>
          <w:lang w:val="fr-CA"/>
        </w:rPr>
        <w:t xml:space="preserve"> </w:t>
      </w:r>
      <w:r w:rsidRPr="00CB1763">
        <w:rPr>
          <w:rFonts w:cs="Arial"/>
          <w:sz w:val="24"/>
          <w:szCs w:val="24"/>
          <w:lang w:val="fr-CA"/>
        </w:rPr>
        <w:t>doit être mieux définie</w:t>
      </w:r>
      <w:r w:rsidR="00CD33C3" w:rsidRPr="00CB1763">
        <w:rPr>
          <w:rFonts w:cs="Arial"/>
          <w:sz w:val="24"/>
          <w:szCs w:val="24"/>
          <w:lang w:val="fr-CA"/>
        </w:rPr>
        <w:t>.</w:t>
      </w:r>
      <w:r w:rsidR="00373D29" w:rsidRPr="00CB1763">
        <w:rPr>
          <w:rFonts w:cs="Arial"/>
          <w:sz w:val="24"/>
          <w:szCs w:val="24"/>
          <w:lang w:val="fr-CA"/>
        </w:rPr>
        <w:t xml:space="preserve"> </w:t>
      </w:r>
      <w:r w:rsidR="00F1214A" w:rsidRPr="00CB1763">
        <w:rPr>
          <w:rFonts w:cs="Arial"/>
          <w:sz w:val="24"/>
          <w:szCs w:val="24"/>
          <w:lang w:val="fr-CA"/>
        </w:rPr>
        <w:t>Au</w:t>
      </w:r>
      <w:r w:rsidR="00373D29" w:rsidRPr="00CB1763">
        <w:rPr>
          <w:rFonts w:cs="Arial"/>
          <w:sz w:val="24"/>
          <w:szCs w:val="24"/>
          <w:lang w:val="fr-CA"/>
        </w:rPr>
        <w:t xml:space="preserve"> minimum, </w:t>
      </w:r>
      <w:r w:rsidR="00F242C2" w:rsidRPr="00CB1763">
        <w:rPr>
          <w:rFonts w:cs="Arial"/>
          <w:sz w:val="24"/>
          <w:szCs w:val="24"/>
          <w:lang w:val="fr-CA"/>
        </w:rPr>
        <w:t xml:space="preserve">les règles doivent </w:t>
      </w:r>
      <w:r w:rsidR="00B31EC7" w:rsidRPr="00CB1763">
        <w:rPr>
          <w:rFonts w:cs="Arial"/>
          <w:sz w:val="24"/>
          <w:szCs w:val="24"/>
          <w:lang w:val="fr-CA"/>
        </w:rPr>
        <w:t>être lisibles et compréhensibles pour l’ensemble des athlètes, peu importe leur incapacité.</w:t>
      </w:r>
      <w:r w:rsidR="00373D29" w:rsidRPr="00CB1763">
        <w:rPr>
          <w:rFonts w:cs="Arial"/>
          <w:sz w:val="24"/>
          <w:szCs w:val="24"/>
          <w:lang w:val="fr-CA"/>
        </w:rPr>
        <w:t xml:space="preserve"> </w:t>
      </w:r>
      <w:r w:rsidR="00230A1E" w:rsidRPr="00CB1763">
        <w:rPr>
          <w:rFonts w:cs="Arial"/>
          <w:sz w:val="24"/>
          <w:szCs w:val="24"/>
          <w:lang w:val="fr-CA"/>
        </w:rPr>
        <w:t>Pour les athlè</w:t>
      </w:r>
      <w:r w:rsidR="00373D29" w:rsidRPr="00CB1763">
        <w:rPr>
          <w:rFonts w:cs="Arial"/>
          <w:sz w:val="24"/>
          <w:szCs w:val="24"/>
          <w:lang w:val="fr-CA"/>
        </w:rPr>
        <w:t>tes</w:t>
      </w:r>
      <w:r w:rsidR="00230A1E" w:rsidRPr="00CB1763">
        <w:rPr>
          <w:rFonts w:cs="Arial"/>
          <w:sz w:val="24"/>
          <w:szCs w:val="24"/>
          <w:lang w:val="fr-CA"/>
        </w:rPr>
        <w:t xml:space="preserve"> ayant une déficience visuelle, cela signifie que le CIP doit faire en sorte que les règles soient disponibles</w:t>
      </w:r>
      <w:r w:rsidR="00B31EC7" w:rsidRPr="00CB1763">
        <w:rPr>
          <w:rFonts w:cs="Arial"/>
          <w:sz w:val="24"/>
          <w:szCs w:val="24"/>
          <w:lang w:val="fr-CA"/>
        </w:rPr>
        <w:t xml:space="preserve"> en b</w:t>
      </w:r>
      <w:r w:rsidR="00373D29" w:rsidRPr="00CB1763">
        <w:rPr>
          <w:rFonts w:cs="Arial"/>
          <w:sz w:val="24"/>
          <w:szCs w:val="24"/>
          <w:lang w:val="fr-CA"/>
        </w:rPr>
        <w:t xml:space="preserve">raille, </w:t>
      </w:r>
      <w:r w:rsidR="00B31EC7" w:rsidRPr="00CB1763">
        <w:rPr>
          <w:rFonts w:cs="Arial"/>
          <w:sz w:val="24"/>
          <w:szCs w:val="24"/>
          <w:lang w:val="fr-CA"/>
        </w:rPr>
        <w:t xml:space="preserve">en gros </w:t>
      </w:r>
      <w:r w:rsidR="00B31EC7" w:rsidRPr="00CB1763">
        <w:rPr>
          <w:rFonts w:cs="Arial"/>
          <w:sz w:val="24"/>
          <w:szCs w:val="24"/>
          <w:lang w:val="fr-CA"/>
        </w:rPr>
        <w:lastRenderedPageBreak/>
        <w:t>caractères, en</w:t>
      </w:r>
      <w:r w:rsidR="00373D29" w:rsidRPr="00CB1763">
        <w:rPr>
          <w:rFonts w:cs="Arial"/>
          <w:sz w:val="24"/>
          <w:szCs w:val="24"/>
          <w:lang w:val="fr-CA"/>
        </w:rPr>
        <w:t xml:space="preserve"> HTML </w:t>
      </w:r>
      <w:r w:rsidR="00B31EC7" w:rsidRPr="00CB1763">
        <w:rPr>
          <w:rFonts w:cs="Arial"/>
          <w:sz w:val="24"/>
          <w:szCs w:val="24"/>
          <w:lang w:val="fr-CA"/>
        </w:rPr>
        <w:t>et autres</w:t>
      </w:r>
      <w:r w:rsidR="00373D29" w:rsidRPr="00CB1763">
        <w:rPr>
          <w:rFonts w:cs="Arial"/>
          <w:sz w:val="24"/>
          <w:szCs w:val="24"/>
          <w:lang w:val="fr-CA"/>
        </w:rPr>
        <w:t xml:space="preserve"> formats</w:t>
      </w:r>
      <w:r w:rsidR="00230A1E" w:rsidRPr="00CB1763">
        <w:rPr>
          <w:rFonts w:cs="Arial"/>
          <w:sz w:val="24"/>
          <w:szCs w:val="24"/>
          <w:lang w:val="fr-CA"/>
        </w:rPr>
        <w:t xml:space="preserve"> pour que les personnes qui ont une déficience visuelle puissent les lire, peu importe qu’elles aient accès ou non à un ordinateur</w:t>
      </w:r>
      <w:r w:rsidR="00373D29" w:rsidRPr="00CB1763">
        <w:rPr>
          <w:rFonts w:cs="Arial"/>
          <w:sz w:val="24"/>
          <w:szCs w:val="24"/>
          <w:lang w:val="fr-CA"/>
        </w:rPr>
        <w:t xml:space="preserve">. </w:t>
      </w:r>
      <w:r w:rsidR="00230A1E" w:rsidRPr="00CB1763">
        <w:rPr>
          <w:rFonts w:cs="Arial"/>
          <w:sz w:val="24"/>
          <w:szCs w:val="24"/>
          <w:lang w:val="fr-CA"/>
        </w:rPr>
        <w:t>D’</w:t>
      </w:r>
      <w:r w:rsidR="007F44FF" w:rsidRPr="00CB1763">
        <w:rPr>
          <w:rFonts w:cs="Arial"/>
          <w:sz w:val="24"/>
          <w:szCs w:val="24"/>
          <w:lang w:val="fr-CA"/>
        </w:rPr>
        <w:t>autres catégories de handicaps</w:t>
      </w:r>
      <w:r w:rsidR="00373D29" w:rsidRPr="00CB1763">
        <w:rPr>
          <w:rFonts w:cs="Arial"/>
          <w:sz w:val="24"/>
          <w:szCs w:val="24"/>
          <w:lang w:val="fr-CA"/>
        </w:rPr>
        <w:t xml:space="preserve"> </w:t>
      </w:r>
      <w:r w:rsidR="007F44FF" w:rsidRPr="00CB1763">
        <w:rPr>
          <w:rFonts w:cs="Arial"/>
          <w:sz w:val="24"/>
          <w:szCs w:val="24"/>
          <w:lang w:val="fr-CA"/>
        </w:rPr>
        <w:t>peuvent avoir des besoins additionnels</w:t>
      </w:r>
      <w:r w:rsidR="00373D29" w:rsidRPr="00CB1763">
        <w:rPr>
          <w:rFonts w:cs="Arial"/>
          <w:sz w:val="24"/>
          <w:szCs w:val="24"/>
          <w:lang w:val="fr-CA"/>
        </w:rPr>
        <w:t xml:space="preserve">. </w:t>
      </w:r>
      <w:r w:rsidR="007F44FF" w:rsidRPr="00CB1763">
        <w:rPr>
          <w:rFonts w:cs="Arial"/>
          <w:sz w:val="24"/>
          <w:szCs w:val="24"/>
          <w:lang w:val="fr-CA"/>
        </w:rPr>
        <w:t>L’ACSA ne se prononce pas toutefois sur ces besoins, car cela ne relève pas de son expertise.</w:t>
      </w:r>
    </w:p>
    <w:p w:rsidR="00373D29" w:rsidRPr="00CB1763" w:rsidRDefault="00373D29" w:rsidP="00373D29">
      <w:pPr>
        <w:pStyle w:val="Heading2"/>
        <w:numPr>
          <w:ilvl w:val="0"/>
          <w:numId w:val="11"/>
        </w:numPr>
        <w:rPr>
          <w:rFonts w:eastAsia="Times New Roman"/>
          <w:lang w:val="fr-CA"/>
        </w:rPr>
      </w:pPr>
      <w:bookmarkStart w:id="20" w:name="_Toc368318352"/>
      <w:r w:rsidRPr="00CB1763">
        <w:rPr>
          <w:rFonts w:eastAsia="Times New Roman"/>
          <w:lang w:val="fr-CA"/>
        </w:rPr>
        <w:t>Classifications</w:t>
      </w:r>
      <w:r w:rsidR="00FA3B86" w:rsidRPr="00CB1763">
        <w:rPr>
          <w:rFonts w:eastAsia="Times New Roman"/>
          <w:lang w:val="fr-CA"/>
        </w:rPr>
        <w:t xml:space="preserve"> à l’échelon national</w:t>
      </w:r>
      <w:r w:rsidRPr="00CB1763">
        <w:rPr>
          <w:rFonts w:eastAsia="Times New Roman"/>
          <w:lang w:val="fr-CA"/>
        </w:rPr>
        <w:t xml:space="preserve"> (</w:t>
      </w:r>
      <w:r w:rsidR="00FA3B86" w:rsidRPr="00CB1763">
        <w:rPr>
          <w:rFonts w:eastAsia="Times New Roman"/>
          <w:lang w:val="fr-CA"/>
        </w:rPr>
        <w:t>Norme internationale sur l’évaluation des athlètes</w:t>
      </w:r>
      <w:r w:rsidR="006713BA" w:rsidRPr="00CB1763">
        <w:rPr>
          <w:rFonts w:eastAsia="Times New Roman"/>
          <w:lang w:val="fr-CA"/>
        </w:rPr>
        <w:t>, S</w:t>
      </w:r>
      <w:r w:rsidRPr="00CB1763">
        <w:rPr>
          <w:rFonts w:eastAsia="Times New Roman"/>
          <w:lang w:val="fr-CA"/>
        </w:rPr>
        <w:t>ection 2.8)</w:t>
      </w:r>
      <w:bookmarkEnd w:id="20"/>
    </w:p>
    <w:p w:rsidR="00373D29" w:rsidRPr="00CB1763" w:rsidRDefault="004037AB" w:rsidP="00373D29">
      <w:pPr>
        <w:pStyle w:val="ListParagraph"/>
        <w:numPr>
          <w:ilvl w:val="0"/>
          <w:numId w:val="8"/>
        </w:numPr>
        <w:spacing w:before="240" w:after="240"/>
        <w:ind w:left="360"/>
        <w:rPr>
          <w:rFonts w:cs="Arial"/>
          <w:sz w:val="24"/>
          <w:szCs w:val="24"/>
          <w:lang w:val="fr-CA"/>
        </w:rPr>
      </w:pPr>
      <w:r w:rsidRPr="00CB1763">
        <w:rPr>
          <w:rFonts w:cs="Arial"/>
          <w:sz w:val="24"/>
          <w:szCs w:val="24"/>
          <w:lang w:val="fr-CA"/>
        </w:rPr>
        <w:t>L’ACSA appuie</w:t>
      </w:r>
      <w:r w:rsidR="007C18A8" w:rsidRPr="00CB1763">
        <w:rPr>
          <w:rFonts w:cs="Arial"/>
          <w:sz w:val="24"/>
          <w:szCs w:val="24"/>
          <w:lang w:val="fr-CA"/>
        </w:rPr>
        <w:t xml:space="preserve"> vigoureusement</w:t>
      </w:r>
      <w:r w:rsidR="00373D29" w:rsidRPr="00CB1763">
        <w:rPr>
          <w:rFonts w:cs="Arial"/>
          <w:sz w:val="24"/>
          <w:szCs w:val="24"/>
          <w:lang w:val="fr-CA"/>
        </w:rPr>
        <w:t xml:space="preserve"> </w:t>
      </w:r>
      <w:r w:rsidR="007C18A8" w:rsidRPr="00CB1763">
        <w:rPr>
          <w:rFonts w:cs="Arial"/>
          <w:sz w:val="24"/>
          <w:szCs w:val="24"/>
          <w:lang w:val="fr-CA"/>
        </w:rPr>
        <w:t xml:space="preserve">le critère selon lequel un athlète doit être classé à l’échelon national avant de participer à une compétition </w:t>
      </w:r>
      <w:r w:rsidR="00373D29" w:rsidRPr="00CB1763">
        <w:rPr>
          <w:rFonts w:cs="Arial"/>
          <w:sz w:val="24"/>
          <w:szCs w:val="24"/>
          <w:lang w:val="fr-CA"/>
        </w:rPr>
        <w:t>international</w:t>
      </w:r>
      <w:r w:rsidR="007C18A8" w:rsidRPr="00CB1763">
        <w:rPr>
          <w:rFonts w:cs="Arial"/>
          <w:sz w:val="24"/>
          <w:szCs w:val="24"/>
          <w:lang w:val="fr-CA"/>
        </w:rPr>
        <w:t>e.</w:t>
      </w:r>
      <w:r w:rsidR="00373D29" w:rsidRPr="00CB1763">
        <w:rPr>
          <w:rFonts w:cs="Arial"/>
          <w:sz w:val="24"/>
          <w:szCs w:val="24"/>
          <w:lang w:val="fr-CA"/>
        </w:rPr>
        <w:t xml:space="preserve"> </w:t>
      </w:r>
      <w:r w:rsidR="007C18A8" w:rsidRPr="00CB1763">
        <w:rPr>
          <w:rFonts w:cs="Arial"/>
          <w:sz w:val="24"/>
          <w:szCs w:val="24"/>
          <w:lang w:val="fr-CA"/>
        </w:rPr>
        <w:t>Cependant, l</w:t>
      </w:r>
      <w:r w:rsidR="00373D29" w:rsidRPr="00CB1763">
        <w:rPr>
          <w:rFonts w:cs="Arial"/>
          <w:sz w:val="24"/>
          <w:szCs w:val="24"/>
          <w:lang w:val="fr-CA"/>
        </w:rPr>
        <w:t xml:space="preserve">e </w:t>
      </w:r>
      <w:r w:rsidR="007C18A8" w:rsidRPr="00CB1763">
        <w:rPr>
          <w:rFonts w:cs="Arial"/>
          <w:sz w:val="24"/>
          <w:szCs w:val="24"/>
          <w:lang w:val="fr-CA"/>
        </w:rPr>
        <w:t>CIP</w:t>
      </w:r>
      <w:r w:rsidR="00373D29" w:rsidRPr="00CB1763">
        <w:rPr>
          <w:rFonts w:cs="Arial"/>
          <w:sz w:val="24"/>
          <w:szCs w:val="24"/>
          <w:lang w:val="fr-CA"/>
        </w:rPr>
        <w:t xml:space="preserve"> </w:t>
      </w:r>
      <w:r w:rsidR="007C18A8" w:rsidRPr="00CB1763">
        <w:rPr>
          <w:rFonts w:cs="Arial"/>
          <w:sz w:val="24"/>
          <w:szCs w:val="24"/>
          <w:lang w:val="fr-CA"/>
        </w:rPr>
        <w:t xml:space="preserve">doit être prêt à accorder la certification à un plus grand nombre de responsables de la classification </w:t>
      </w:r>
      <w:r w:rsidR="007352E1" w:rsidRPr="00CB1763">
        <w:rPr>
          <w:rFonts w:cs="Arial"/>
          <w:sz w:val="24"/>
          <w:szCs w:val="24"/>
          <w:lang w:val="fr-CA"/>
        </w:rPr>
        <w:t>formés à l’étranger</w:t>
      </w:r>
      <w:r w:rsidR="00373D29" w:rsidRPr="00CB1763">
        <w:rPr>
          <w:rFonts w:cs="Arial"/>
          <w:sz w:val="24"/>
          <w:szCs w:val="24"/>
          <w:lang w:val="fr-CA"/>
        </w:rPr>
        <w:t xml:space="preserve"> </w:t>
      </w:r>
      <w:r w:rsidR="007C18A8" w:rsidRPr="00CB1763">
        <w:rPr>
          <w:rFonts w:cs="Arial"/>
          <w:sz w:val="24"/>
          <w:szCs w:val="24"/>
          <w:lang w:val="fr-CA"/>
        </w:rPr>
        <w:t>pour que cela puisse se faire de fa</w:t>
      </w:r>
      <w:r w:rsidR="007352E1" w:rsidRPr="00CB1763">
        <w:rPr>
          <w:rFonts w:cs="Arial"/>
          <w:sz w:val="24"/>
          <w:szCs w:val="24"/>
          <w:lang w:val="fr-CA"/>
        </w:rPr>
        <w:t>çon efficace et pour permettre à ces derniers</w:t>
      </w:r>
      <w:r w:rsidR="00373D29" w:rsidRPr="00CB1763">
        <w:rPr>
          <w:rFonts w:cs="Arial"/>
          <w:sz w:val="24"/>
          <w:szCs w:val="24"/>
          <w:lang w:val="fr-CA"/>
        </w:rPr>
        <w:t xml:space="preserve"> </w:t>
      </w:r>
      <w:r w:rsidR="007352E1" w:rsidRPr="00CB1763">
        <w:rPr>
          <w:rFonts w:cs="Arial"/>
          <w:sz w:val="24"/>
          <w:szCs w:val="24"/>
          <w:lang w:val="fr-CA"/>
        </w:rPr>
        <w:t>de former à leur tour des responsables de la classification nationaux</w:t>
      </w:r>
      <w:r w:rsidR="007C18A8" w:rsidRPr="00CB1763">
        <w:rPr>
          <w:rFonts w:cs="Arial"/>
          <w:sz w:val="24"/>
          <w:szCs w:val="24"/>
          <w:lang w:val="fr-CA"/>
        </w:rPr>
        <w:t>. Au Canada, par exemple, l</w:t>
      </w:r>
      <w:r w:rsidR="00373D29" w:rsidRPr="00CB1763">
        <w:rPr>
          <w:rFonts w:cs="Arial"/>
          <w:sz w:val="24"/>
          <w:szCs w:val="24"/>
          <w:lang w:val="fr-CA"/>
        </w:rPr>
        <w:t xml:space="preserve">e </w:t>
      </w:r>
      <w:r w:rsidR="007C18A8" w:rsidRPr="00CB1763">
        <w:rPr>
          <w:rFonts w:cs="Arial"/>
          <w:sz w:val="24"/>
          <w:szCs w:val="24"/>
          <w:lang w:val="fr-CA"/>
        </w:rPr>
        <w:t>CIP</w:t>
      </w:r>
      <w:r w:rsidR="00373D29" w:rsidRPr="00CB1763">
        <w:rPr>
          <w:rFonts w:cs="Arial"/>
          <w:sz w:val="24"/>
          <w:szCs w:val="24"/>
          <w:lang w:val="fr-CA"/>
        </w:rPr>
        <w:t xml:space="preserve"> </w:t>
      </w:r>
      <w:r w:rsidR="007352E1" w:rsidRPr="00CB1763">
        <w:rPr>
          <w:rFonts w:cs="Arial"/>
          <w:sz w:val="24"/>
          <w:szCs w:val="24"/>
          <w:lang w:val="fr-CA"/>
        </w:rPr>
        <w:t>a autorisé seulement deux responsables de la classification</w:t>
      </w:r>
      <w:r w:rsidR="006713BA" w:rsidRPr="00CB1763">
        <w:rPr>
          <w:rFonts w:cs="Arial"/>
          <w:sz w:val="24"/>
          <w:szCs w:val="24"/>
          <w:lang w:val="fr-CA"/>
        </w:rPr>
        <w:t xml:space="preserve"> pour la vue</w:t>
      </w:r>
      <w:r w:rsidR="00373D29" w:rsidRPr="00CB1763">
        <w:rPr>
          <w:rFonts w:cs="Arial"/>
          <w:sz w:val="24"/>
          <w:szCs w:val="24"/>
          <w:lang w:val="fr-CA"/>
        </w:rPr>
        <w:t xml:space="preserve"> </w:t>
      </w:r>
      <w:r w:rsidR="001D0643" w:rsidRPr="00CB1763">
        <w:rPr>
          <w:rFonts w:cs="Arial"/>
          <w:sz w:val="24"/>
          <w:szCs w:val="24"/>
          <w:lang w:val="fr-CA"/>
        </w:rPr>
        <w:t>à être certifiés à l’échelle</w:t>
      </w:r>
      <w:r w:rsidR="00373D29" w:rsidRPr="00CB1763">
        <w:rPr>
          <w:rFonts w:cs="Arial"/>
          <w:sz w:val="24"/>
          <w:szCs w:val="24"/>
          <w:lang w:val="fr-CA"/>
        </w:rPr>
        <w:t xml:space="preserve"> internation</w:t>
      </w:r>
      <w:r w:rsidR="001D0643" w:rsidRPr="00CB1763">
        <w:rPr>
          <w:rFonts w:cs="Arial"/>
          <w:sz w:val="24"/>
          <w:szCs w:val="24"/>
          <w:lang w:val="fr-CA"/>
        </w:rPr>
        <w:t>ale</w:t>
      </w:r>
      <w:r w:rsidR="007C18A8" w:rsidRPr="00CB1763">
        <w:rPr>
          <w:rFonts w:cs="Arial"/>
          <w:sz w:val="24"/>
          <w:szCs w:val="24"/>
          <w:lang w:val="fr-CA"/>
        </w:rPr>
        <w:t xml:space="preserve"> </w:t>
      </w:r>
      <w:r w:rsidR="001D0643" w:rsidRPr="00CB1763">
        <w:rPr>
          <w:rFonts w:cs="Arial"/>
          <w:sz w:val="24"/>
          <w:szCs w:val="24"/>
          <w:lang w:val="fr-CA"/>
        </w:rPr>
        <w:t>dans tout le pays</w:t>
      </w:r>
      <w:r w:rsidR="007C18A8" w:rsidRPr="00CB1763">
        <w:rPr>
          <w:rFonts w:cs="Arial"/>
          <w:sz w:val="24"/>
          <w:szCs w:val="24"/>
          <w:lang w:val="fr-CA"/>
        </w:rPr>
        <w:t>.</w:t>
      </w:r>
      <w:r w:rsidR="00373D29" w:rsidRPr="00CB1763">
        <w:rPr>
          <w:rFonts w:cs="Arial"/>
          <w:sz w:val="24"/>
          <w:szCs w:val="24"/>
          <w:lang w:val="fr-CA"/>
        </w:rPr>
        <w:t xml:space="preserve"> </w:t>
      </w:r>
      <w:r w:rsidR="007C18A8" w:rsidRPr="00CB1763">
        <w:rPr>
          <w:rFonts w:cs="Arial"/>
          <w:sz w:val="24"/>
          <w:szCs w:val="24"/>
          <w:lang w:val="fr-CA"/>
        </w:rPr>
        <w:t xml:space="preserve">Compte tenu de </w:t>
      </w:r>
      <w:r w:rsidR="001D0643" w:rsidRPr="00CB1763">
        <w:rPr>
          <w:rFonts w:cs="Arial"/>
          <w:sz w:val="24"/>
          <w:szCs w:val="24"/>
          <w:lang w:val="fr-CA"/>
        </w:rPr>
        <w:t>la superficie du Canada</w:t>
      </w:r>
      <w:r w:rsidR="00373D29" w:rsidRPr="00CB1763">
        <w:rPr>
          <w:rFonts w:cs="Arial"/>
          <w:sz w:val="24"/>
          <w:szCs w:val="24"/>
          <w:lang w:val="fr-CA"/>
        </w:rPr>
        <w:t xml:space="preserve"> </w:t>
      </w:r>
      <w:r w:rsidR="001D0643" w:rsidRPr="00CB1763">
        <w:rPr>
          <w:rFonts w:cs="Arial"/>
          <w:sz w:val="24"/>
          <w:szCs w:val="24"/>
          <w:lang w:val="fr-CA"/>
        </w:rPr>
        <w:t>et de l’obligation de fournir des services de classification</w:t>
      </w:r>
      <w:r w:rsidR="00373D29" w:rsidRPr="00CB1763">
        <w:rPr>
          <w:rFonts w:cs="Arial"/>
          <w:sz w:val="24"/>
          <w:szCs w:val="24"/>
          <w:lang w:val="fr-CA"/>
        </w:rPr>
        <w:t xml:space="preserve"> </w:t>
      </w:r>
      <w:r w:rsidR="007352E1" w:rsidRPr="00CB1763">
        <w:rPr>
          <w:rFonts w:cs="Arial"/>
          <w:sz w:val="24"/>
          <w:szCs w:val="24"/>
          <w:lang w:val="fr-CA"/>
        </w:rPr>
        <w:t>dans les deux langues officielles</w:t>
      </w:r>
      <w:r w:rsidR="00373D29" w:rsidRPr="00CB1763">
        <w:rPr>
          <w:rFonts w:cs="Arial"/>
          <w:sz w:val="24"/>
          <w:szCs w:val="24"/>
          <w:lang w:val="fr-CA"/>
        </w:rPr>
        <w:t xml:space="preserve">, </w:t>
      </w:r>
      <w:r w:rsidR="001D0643" w:rsidRPr="00CB1763">
        <w:rPr>
          <w:rFonts w:cs="Arial"/>
          <w:sz w:val="24"/>
          <w:szCs w:val="24"/>
          <w:lang w:val="fr-CA"/>
        </w:rPr>
        <w:t>il est extrêmement difficile pour les athlètes canadiens aveugles ou ayant une déficience visuelle d’obtenir leur</w:t>
      </w:r>
      <w:r w:rsidR="00373D29" w:rsidRPr="00CB1763">
        <w:rPr>
          <w:rFonts w:cs="Arial"/>
          <w:sz w:val="24"/>
          <w:szCs w:val="24"/>
          <w:lang w:val="fr-CA"/>
        </w:rPr>
        <w:t xml:space="preserve"> classification </w:t>
      </w:r>
      <w:r w:rsidR="001D0643" w:rsidRPr="00CB1763">
        <w:rPr>
          <w:rFonts w:cs="Arial"/>
          <w:sz w:val="24"/>
          <w:szCs w:val="24"/>
          <w:lang w:val="fr-CA"/>
        </w:rPr>
        <w:t>avant de pouvoir compétitionner sur la scène internationale.</w:t>
      </w:r>
      <w:r w:rsidR="00373D29" w:rsidRPr="00CB1763">
        <w:rPr>
          <w:rFonts w:cs="Arial"/>
          <w:sz w:val="24"/>
          <w:szCs w:val="24"/>
          <w:lang w:val="fr-CA"/>
        </w:rPr>
        <w:t xml:space="preserve"> </w:t>
      </w:r>
      <w:r w:rsidR="001D0643" w:rsidRPr="00CB1763">
        <w:rPr>
          <w:rFonts w:cs="Arial"/>
          <w:sz w:val="24"/>
          <w:szCs w:val="24"/>
          <w:lang w:val="fr-CA"/>
        </w:rPr>
        <w:t>Les athlètes canadiens-français</w:t>
      </w:r>
      <w:r w:rsidR="00373D29" w:rsidRPr="00CB1763">
        <w:rPr>
          <w:rFonts w:cs="Arial"/>
          <w:sz w:val="24"/>
          <w:szCs w:val="24"/>
          <w:lang w:val="fr-CA"/>
        </w:rPr>
        <w:t xml:space="preserve"> </w:t>
      </w:r>
      <w:r w:rsidR="001D0643" w:rsidRPr="00CB1763">
        <w:rPr>
          <w:rFonts w:cs="Arial"/>
          <w:sz w:val="24"/>
          <w:szCs w:val="24"/>
          <w:lang w:val="fr-CA"/>
        </w:rPr>
        <w:t>ne peuvent pour le moment recevoir ces services en français</w:t>
      </w:r>
      <w:r w:rsidR="007352E1" w:rsidRPr="00CB1763">
        <w:rPr>
          <w:rFonts w:cs="Arial"/>
          <w:sz w:val="24"/>
          <w:szCs w:val="24"/>
          <w:lang w:val="fr-CA"/>
        </w:rPr>
        <w:t>.</w:t>
      </w:r>
      <w:r w:rsidR="00373D29" w:rsidRPr="00CB1763">
        <w:rPr>
          <w:rFonts w:cs="Arial"/>
          <w:sz w:val="24"/>
          <w:szCs w:val="24"/>
          <w:lang w:val="fr-CA"/>
        </w:rPr>
        <w:t xml:space="preserve"> </w:t>
      </w:r>
      <w:r w:rsidR="001D0643" w:rsidRPr="00CB1763">
        <w:rPr>
          <w:rFonts w:cs="Arial"/>
          <w:sz w:val="24"/>
          <w:szCs w:val="24"/>
          <w:lang w:val="fr-CA"/>
        </w:rPr>
        <w:t xml:space="preserve">Le gouvernement fédéral nous oblige à offrir ces services dans les deux langues officielles au </w:t>
      </w:r>
      <w:r w:rsidR="006713BA" w:rsidRPr="00CB1763">
        <w:rPr>
          <w:rFonts w:cs="Arial"/>
          <w:sz w:val="24"/>
          <w:szCs w:val="24"/>
          <w:lang w:val="fr-CA"/>
        </w:rPr>
        <w:t xml:space="preserve">Canada. </w:t>
      </w:r>
      <w:r w:rsidR="005976CC" w:rsidRPr="00CB1763">
        <w:rPr>
          <w:rFonts w:cs="Arial"/>
          <w:sz w:val="24"/>
          <w:szCs w:val="24"/>
          <w:lang w:val="fr-CA"/>
        </w:rPr>
        <w:t>Et cela</w:t>
      </w:r>
      <w:r w:rsidR="000F3239">
        <w:rPr>
          <w:rFonts w:cs="Arial"/>
          <w:sz w:val="24"/>
          <w:szCs w:val="24"/>
          <w:lang w:val="fr-CA"/>
        </w:rPr>
        <w:t>,</w:t>
      </w:r>
      <w:r w:rsidR="005976CC" w:rsidRPr="00CB1763">
        <w:rPr>
          <w:rFonts w:cs="Arial"/>
          <w:sz w:val="24"/>
          <w:szCs w:val="24"/>
          <w:lang w:val="fr-CA"/>
        </w:rPr>
        <w:t xml:space="preserve"> peu importe les exigences du CIP à l’étranger</w:t>
      </w:r>
      <w:r w:rsidR="00373D29" w:rsidRPr="00CB1763">
        <w:rPr>
          <w:rFonts w:cs="Arial"/>
          <w:sz w:val="24"/>
          <w:szCs w:val="24"/>
          <w:lang w:val="fr-CA"/>
        </w:rPr>
        <w:t>.</w:t>
      </w:r>
    </w:p>
    <w:p w:rsidR="00373D29" w:rsidRPr="00CB1763" w:rsidRDefault="00373D29" w:rsidP="00373D29">
      <w:pPr>
        <w:pStyle w:val="ListParagraph"/>
        <w:rPr>
          <w:rFonts w:cs="Arial"/>
          <w:sz w:val="24"/>
          <w:szCs w:val="24"/>
          <w:lang w:val="fr-CA"/>
        </w:rPr>
      </w:pPr>
    </w:p>
    <w:p w:rsidR="00373D29" w:rsidRPr="00CB1763" w:rsidRDefault="00570989" w:rsidP="00373D29">
      <w:pPr>
        <w:pStyle w:val="ListParagraph"/>
        <w:numPr>
          <w:ilvl w:val="0"/>
          <w:numId w:val="8"/>
        </w:numPr>
        <w:tabs>
          <w:tab w:val="left" w:pos="360"/>
        </w:tabs>
        <w:ind w:left="360"/>
        <w:rPr>
          <w:rFonts w:cs="Arial"/>
          <w:sz w:val="24"/>
          <w:szCs w:val="24"/>
          <w:lang w:val="fr-CA"/>
        </w:rPr>
      </w:pPr>
      <w:r w:rsidRPr="00CB1763">
        <w:rPr>
          <w:rFonts w:cs="Arial"/>
          <w:sz w:val="24"/>
          <w:szCs w:val="24"/>
          <w:lang w:val="fr-CA"/>
        </w:rPr>
        <w:t>Étant donné que les athlè</w:t>
      </w:r>
      <w:r w:rsidR="00373D29" w:rsidRPr="00CB1763">
        <w:rPr>
          <w:rFonts w:cs="Arial"/>
          <w:sz w:val="24"/>
          <w:szCs w:val="24"/>
          <w:lang w:val="fr-CA"/>
        </w:rPr>
        <w:t xml:space="preserve">tes </w:t>
      </w:r>
      <w:r w:rsidRPr="00CB1763">
        <w:rPr>
          <w:rFonts w:cs="Arial"/>
          <w:sz w:val="24"/>
          <w:szCs w:val="24"/>
          <w:lang w:val="fr-CA"/>
        </w:rPr>
        <w:t xml:space="preserve">qui ont obtenu leur </w:t>
      </w:r>
      <w:r w:rsidR="00373D29" w:rsidRPr="00CB1763">
        <w:rPr>
          <w:rFonts w:cs="Arial"/>
          <w:sz w:val="24"/>
          <w:szCs w:val="24"/>
          <w:lang w:val="fr-CA"/>
        </w:rPr>
        <w:t xml:space="preserve">classification </w:t>
      </w:r>
      <w:r w:rsidRPr="00CB1763">
        <w:rPr>
          <w:rFonts w:cs="Arial"/>
          <w:sz w:val="24"/>
          <w:szCs w:val="24"/>
          <w:lang w:val="fr-CA"/>
        </w:rPr>
        <w:t>nationale souhaitent très souvent participer à des compétitions sur la scène internationale, les normes de formation des responsables de la classification nationaux doivent être rigoureusement conformes à celles en vigueur à l’échelle internationale</w:t>
      </w:r>
      <w:r w:rsidR="00373D29" w:rsidRPr="00CB1763">
        <w:rPr>
          <w:rFonts w:cs="Arial"/>
          <w:sz w:val="24"/>
          <w:szCs w:val="24"/>
          <w:lang w:val="fr-CA"/>
        </w:rPr>
        <w:t xml:space="preserve">. </w:t>
      </w:r>
      <w:r w:rsidRPr="00CB1763">
        <w:rPr>
          <w:rFonts w:cs="Arial"/>
          <w:sz w:val="24"/>
          <w:szCs w:val="24"/>
          <w:lang w:val="fr-CA"/>
        </w:rPr>
        <w:t>Et</w:t>
      </w:r>
      <w:r w:rsidR="000F3239">
        <w:rPr>
          <w:rFonts w:cs="Arial"/>
          <w:sz w:val="24"/>
          <w:szCs w:val="24"/>
          <w:lang w:val="fr-CA"/>
        </w:rPr>
        <w:t>,</w:t>
      </w:r>
      <w:r w:rsidRPr="00CB1763">
        <w:rPr>
          <w:rFonts w:cs="Arial"/>
          <w:sz w:val="24"/>
          <w:szCs w:val="24"/>
          <w:lang w:val="fr-CA"/>
        </w:rPr>
        <w:t xml:space="preserve"> bien entendu, le CIP et les FI doivent s’assurer que plus de gens ont accès à cette formation</w:t>
      </w:r>
      <w:r w:rsidR="00373D29" w:rsidRPr="00CB1763">
        <w:rPr>
          <w:rFonts w:cs="Arial"/>
          <w:sz w:val="24"/>
          <w:szCs w:val="24"/>
          <w:lang w:val="fr-CA"/>
        </w:rPr>
        <w:t>.</w:t>
      </w:r>
    </w:p>
    <w:p w:rsidR="00373D29" w:rsidRPr="00CB1763" w:rsidRDefault="00C8294D" w:rsidP="00373D29">
      <w:pPr>
        <w:pStyle w:val="Heading2"/>
        <w:numPr>
          <w:ilvl w:val="0"/>
          <w:numId w:val="11"/>
        </w:numPr>
        <w:rPr>
          <w:rFonts w:eastAsia="Times New Roman"/>
          <w:lang w:val="fr-CA"/>
        </w:rPr>
      </w:pPr>
      <w:bookmarkStart w:id="21" w:name="_Toc368318353"/>
      <w:r w:rsidRPr="00CB1763">
        <w:rPr>
          <w:rFonts w:eastAsia="Times New Roman"/>
          <w:lang w:val="fr-CA"/>
        </w:rPr>
        <w:t>État actuel des catégories de sport</w:t>
      </w:r>
      <w:r w:rsidR="00373D29" w:rsidRPr="00CB1763">
        <w:rPr>
          <w:rFonts w:eastAsia="Times New Roman"/>
          <w:lang w:val="fr-CA"/>
        </w:rPr>
        <w:t xml:space="preserve"> (</w:t>
      </w:r>
      <w:r w:rsidR="00FA3B86" w:rsidRPr="00CB1763">
        <w:rPr>
          <w:rFonts w:eastAsia="Times New Roman"/>
          <w:lang w:val="fr-CA"/>
        </w:rPr>
        <w:t>Norme internationale sur l’évaluation des athlètes</w:t>
      </w:r>
      <w:r w:rsidR="00373D29" w:rsidRPr="00CB1763">
        <w:rPr>
          <w:rFonts w:eastAsia="Times New Roman"/>
          <w:lang w:val="fr-CA"/>
        </w:rPr>
        <w:t>, Section 3)</w:t>
      </w:r>
      <w:bookmarkEnd w:id="21"/>
    </w:p>
    <w:p w:rsidR="00373D29" w:rsidRPr="00CB1763" w:rsidRDefault="006A231B" w:rsidP="00373D29">
      <w:pPr>
        <w:pStyle w:val="ListParagraph"/>
        <w:numPr>
          <w:ilvl w:val="0"/>
          <w:numId w:val="8"/>
        </w:numPr>
        <w:ind w:left="360"/>
        <w:rPr>
          <w:rFonts w:cs="Arial"/>
          <w:sz w:val="24"/>
          <w:szCs w:val="24"/>
          <w:lang w:val="fr-CA"/>
        </w:rPr>
      </w:pPr>
      <w:r w:rsidRPr="00CB1763">
        <w:rPr>
          <w:rFonts w:cs="Arial"/>
          <w:sz w:val="24"/>
          <w:szCs w:val="24"/>
          <w:lang w:val="fr-CA"/>
        </w:rPr>
        <w:t>À la S</w:t>
      </w:r>
      <w:r w:rsidR="00373D29" w:rsidRPr="00CB1763">
        <w:rPr>
          <w:rFonts w:cs="Arial"/>
          <w:sz w:val="24"/>
          <w:szCs w:val="24"/>
          <w:lang w:val="fr-CA"/>
        </w:rPr>
        <w:t xml:space="preserve">ection 3.3.3, </w:t>
      </w:r>
      <w:r w:rsidRPr="00CB1763">
        <w:rPr>
          <w:rFonts w:cs="Arial"/>
          <w:sz w:val="24"/>
          <w:szCs w:val="24"/>
          <w:lang w:val="fr-CA"/>
        </w:rPr>
        <w:t xml:space="preserve">l’ACSA </w:t>
      </w:r>
      <w:r w:rsidR="00373D29" w:rsidRPr="00CB1763">
        <w:rPr>
          <w:rFonts w:cs="Arial"/>
          <w:sz w:val="24"/>
          <w:szCs w:val="24"/>
          <w:lang w:val="fr-CA"/>
        </w:rPr>
        <w:t>propo</w:t>
      </w:r>
      <w:r w:rsidRPr="00CB1763">
        <w:rPr>
          <w:rFonts w:cs="Arial"/>
          <w:sz w:val="24"/>
          <w:szCs w:val="24"/>
          <w:lang w:val="fr-CA"/>
        </w:rPr>
        <w:t>se</w:t>
      </w:r>
      <w:r w:rsidR="001773AF" w:rsidRPr="00CB1763">
        <w:rPr>
          <w:rFonts w:cs="Arial"/>
          <w:sz w:val="24"/>
          <w:szCs w:val="24"/>
          <w:lang w:val="fr-CA"/>
        </w:rPr>
        <w:t xml:space="preserve"> d’ajouter une option à l’intention des responsables de la classification</w:t>
      </w:r>
      <w:r w:rsidR="00373D29" w:rsidRPr="00CB1763">
        <w:rPr>
          <w:rFonts w:cs="Arial"/>
          <w:sz w:val="24"/>
          <w:szCs w:val="24"/>
          <w:lang w:val="fr-CA"/>
        </w:rPr>
        <w:t xml:space="preserve"> </w:t>
      </w:r>
      <w:r w:rsidR="001773AF" w:rsidRPr="00CB1763">
        <w:rPr>
          <w:rFonts w:cs="Arial"/>
          <w:sz w:val="24"/>
          <w:szCs w:val="24"/>
          <w:lang w:val="fr-CA"/>
        </w:rPr>
        <w:t xml:space="preserve">leur permettant de revoir ou de réexaminer la </w:t>
      </w:r>
      <w:r w:rsidR="00373D29" w:rsidRPr="00CB1763">
        <w:rPr>
          <w:rFonts w:cs="Arial"/>
          <w:sz w:val="24"/>
          <w:szCs w:val="24"/>
          <w:lang w:val="fr-CA"/>
        </w:rPr>
        <w:t xml:space="preserve">classification </w:t>
      </w:r>
      <w:r w:rsidR="001773AF" w:rsidRPr="00CB1763">
        <w:rPr>
          <w:rFonts w:cs="Arial"/>
          <w:sz w:val="24"/>
          <w:szCs w:val="24"/>
          <w:lang w:val="fr-CA"/>
        </w:rPr>
        <w:t>d’un athlè</w:t>
      </w:r>
      <w:r w:rsidR="00C8294D" w:rsidRPr="00CB1763">
        <w:rPr>
          <w:rFonts w:cs="Arial"/>
          <w:sz w:val="24"/>
          <w:szCs w:val="24"/>
          <w:lang w:val="fr-CA"/>
        </w:rPr>
        <w:t xml:space="preserve">te </w:t>
      </w:r>
      <w:r w:rsidR="00237F4D" w:rsidRPr="00CB1763">
        <w:rPr>
          <w:rFonts w:cs="Arial"/>
          <w:sz w:val="24"/>
          <w:szCs w:val="24"/>
          <w:lang w:val="fr-CA"/>
        </w:rPr>
        <w:t>dans un délai donné</w:t>
      </w:r>
      <w:r w:rsidR="00C8294D" w:rsidRPr="00CB1763">
        <w:rPr>
          <w:rFonts w:cs="Arial"/>
          <w:sz w:val="24"/>
          <w:szCs w:val="24"/>
          <w:lang w:val="fr-CA"/>
        </w:rPr>
        <w:t xml:space="preserve">. </w:t>
      </w:r>
      <w:r w:rsidRPr="00CB1763">
        <w:rPr>
          <w:rFonts w:cs="Arial"/>
          <w:sz w:val="24"/>
          <w:szCs w:val="24"/>
          <w:lang w:val="fr-CA"/>
        </w:rPr>
        <w:t>Ainsi</w:t>
      </w:r>
      <w:r w:rsidR="00373D29" w:rsidRPr="00CB1763">
        <w:rPr>
          <w:rFonts w:cs="Arial"/>
          <w:sz w:val="24"/>
          <w:szCs w:val="24"/>
          <w:lang w:val="fr-CA"/>
        </w:rPr>
        <w:t xml:space="preserve">, </w:t>
      </w:r>
      <w:r w:rsidR="00237F4D" w:rsidRPr="00CB1763">
        <w:rPr>
          <w:rFonts w:cs="Arial"/>
          <w:sz w:val="24"/>
          <w:szCs w:val="24"/>
          <w:lang w:val="fr-CA"/>
        </w:rPr>
        <w:t>la</w:t>
      </w:r>
      <w:r w:rsidR="00373D29" w:rsidRPr="00CB1763">
        <w:rPr>
          <w:rFonts w:cs="Arial"/>
          <w:sz w:val="24"/>
          <w:szCs w:val="24"/>
          <w:lang w:val="fr-CA"/>
        </w:rPr>
        <w:t xml:space="preserve"> classification</w:t>
      </w:r>
      <w:r w:rsidR="00237F4D" w:rsidRPr="00CB1763">
        <w:rPr>
          <w:rFonts w:cs="Arial"/>
          <w:sz w:val="24"/>
          <w:szCs w:val="24"/>
          <w:lang w:val="fr-CA"/>
        </w:rPr>
        <w:t xml:space="preserve"> de l’athlète restera la même pendant la période de révision,</w:t>
      </w:r>
      <w:r w:rsidR="00373D29" w:rsidRPr="00CB1763">
        <w:rPr>
          <w:rFonts w:cs="Arial"/>
          <w:sz w:val="24"/>
          <w:szCs w:val="24"/>
          <w:lang w:val="fr-CA"/>
        </w:rPr>
        <w:t xml:space="preserve"> </w:t>
      </w:r>
      <w:r w:rsidR="00C8294D" w:rsidRPr="00CB1763">
        <w:rPr>
          <w:rFonts w:cs="Arial"/>
          <w:sz w:val="24"/>
          <w:szCs w:val="24"/>
          <w:lang w:val="fr-CA"/>
        </w:rPr>
        <w:t xml:space="preserve">sous réserve d’un protêt ou d’un appel. </w:t>
      </w:r>
      <w:r w:rsidR="00F51443" w:rsidRPr="00CB1763">
        <w:rPr>
          <w:rFonts w:cs="Arial"/>
          <w:sz w:val="24"/>
          <w:szCs w:val="24"/>
          <w:lang w:val="fr-CA"/>
        </w:rPr>
        <w:t>Cette option supplémentaire permet de donner plus de stabilité au processus de classification et de diminuer le niveau de stress des athlètes</w:t>
      </w:r>
      <w:r w:rsidR="00373D29" w:rsidRPr="00CB1763">
        <w:rPr>
          <w:rFonts w:cs="Arial"/>
          <w:sz w:val="24"/>
          <w:szCs w:val="24"/>
          <w:lang w:val="fr-CA"/>
        </w:rPr>
        <w:t xml:space="preserve"> </w:t>
      </w:r>
      <w:r w:rsidR="00F51443" w:rsidRPr="00CB1763">
        <w:rPr>
          <w:rFonts w:cs="Arial"/>
          <w:sz w:val="24"/>
          <w:szCs w:val="24"/>
          <w:lang w:val="fr-CA"/>
        </w:rPr>
        <w:t>qui n’auront pas à subir une révision de classification aussi souvent avant</w:t>
      </w:r>
      <w:r w:rsidR="00373D29" w:rsidRPr="00CB1763">
        <w:rPr>
          <w:rFonts w:cs="Arial"/>
          <w:sz w:val="24"/>
          <w:szCs w:val="24"/>
          <w:lang w:val="fr-CA"/>
        </w:rPr>
        <w:t xml:space="preserve"> </w:t>
      </w:r>
      <w:r w:rsidR="003B1759" w:rsidRPr="00CB1763">
        <w:rPr>
          <w:rFonts w:cs="Arial"/>
          <w:sz w:val="24"/>
          <w:szCs w:val="24"/>
          <w:lang w:val="fr-CA"/>
        </w:rPr>
        <w:t>le début des compétitions.</w:t>
      </w:r>
    </w:p>
    <w:p w:rsidR="00FA6BCC" w:rsidRPr="00CB1763" w:rsidRDefault="00FA6BCC" w:rsidP="00FA6BCC">
      <w:pPr>
        <w:pStyle w:val="ListParagraph"/>
        <w:ind w:left="360"/>
        <w:rPr>
          <w:rFonts w:cs="Arial"/>
          <w:sz w:val="24"/>
          <w:szCs w:val="24"/>
          <w:lang w:val="fr-CA"/>
        </w:rPr>
      </w:pPr>
    </w:p>
    <w:p w:rsidR="00373D29" w:rsidRPr="00CB1763" w:rsidRDefault="003B1759" w:rsidP="00373D29">
      <w:pPr>
        <w:pStyle w:val="ListParagraph"/>
        <w:numPr>
          <w:ilvl w:val="0"/>
          <w:numId w:val="8"/>
        </w:numPr>
        <w:ind w:left="360"/>
        <w:rPr>
          <w:rFonts w:cs="Arial"/>
          <w:sz w:val="24"/>
          <w:szCs w:val="24"/>
          <w:lang w:val="fr-CA"/>
        </w:rPr>
      </w:pPr>
      <w:r w:rsidRPr="00CB1763">
        <w:rPr>
          <w:rFonts w:cs="Arial"/>
          <w:sz w:val="24"/>
          <w:szCs w:val="24"/>
          <w:lang w:val="fr-CA"/>
        </w:rPr>
        <w:t>De surcroît, en ce qui concerne les classifications R et C</w:t>
      </w:r>
      <w:r w:rsidR="00373D29" w:rsidRPr="00CB1763">
        <w:rPr>
          <w:rFonts w:cs="Arial"/>
          <w:sz w:val="24"/>
          <w:szCs w:val="24"/>
          <w:lang w:val="fr-CA"/>
        </w:rPr>
        <w:t xml:space="preserve">, </w:t>
      </w:r>
      <w:r w:rsidR="00237F4D" w:rsidRPr="00CB1763">
        <w:rPr>
          <w:rFonts w:cs="Arial"/>
          <w:sz w:val="24"/>
          <w:szCs w:val="24"/>
          <w:lang w:val="fr-CA"/>
        </w:rPr>
        <w:t xml:space="preserve">le CIP doit </w:t>
      </w:r>
      <w:r w:rsidRPr="00CB1763">
        <w:rPr>
          <w:rFonts w:cs="Arial"/>
          <w:sz w:val="24"/>
          <w:szCs w:val="24"/>
          <w:lang w:val="fr-CA"/>
        </w:rPr>
        <w:t>s’</w:t>
      </w:r>
      <w:r w:rsidR="006C29D5" w:rsidRPr="00CB1763">
        <w:rPr>
          <w:rFonts w:cs="Arial"/>
          <w:sz w:val="24"/>
          <w:szCs w:val="24"/>
          <w:lang w:val="fr-CA"/>
        </w:rPr>
        <w:t>assurer que</w:t>
      </w:r>
      <w:r w:rsidR="00373D29" w:rsidRPr="00CB1763">
        <w:rPr>
          <w:rFonts w:cs="Arial"/>
          <w:sz w:val="24"/>
          <w:szCs w:val="24"/>
          <w:lang w:val="fr-CA"/>
        </w:rPr>
        <w:t xml:space="preserve"> </w:t>
      </w:r>
      <w:r w:rsidR="006C29D5" w:rsidRPr="00CB1763">
        <w:rPr>
          <w:rFonts w:cs="Arial"/>
          <w:sz w:val="24"/>
          <w:szCs w:val="24"/>
          <w:lang w:val="fr-CA"/>
        </w:rPr>
        <w:t>ces dé</w:t>
      </w:r>
      <w:r w:rsidR="00373D29" w:rsidRPr="00CB1763">
        <w:rPr>
          <w:rFonts w:cs="Arial"/>
          <w:sz w:val="24"/>
          <w:szCs w:val="24"/>
          <w:lang w:val="fr-CA"/>
        </w:rPr>
        <w:t xml:space="preserve">signations </w:t>
      </w:r>
      <w:r w:rsidR="006C29D5" w:rsidRPr="00CB1763">
        <w:rPr>
          <w:rFonts w:cs="Arial"/>
          <w:sz w:val="24"/>
          <w:szCs w:val="24"/>
          <w:lang w:val="fr-CA"/>
        </w:rPr>
        <w:t>sont attribuées de façon uniforme</w:t>
      </w:r>
      <w:r w:rsidR="00373D29" w:rsidRPr="00CB1763">
        <w:rPr>
          <w:rFonts w:cs="Arial"/>
          <w:sz w:val="24"/>
          <w:szCs w:val="24"/>
          <w:lang w:val="fr-CA"/>
        </w:rPr>
        <w:t xml:space="preserve"> </w:t>
      </w:r>
      <w:r w:rsidR="006C29D5" w:rsidRPr="00CB1763">
        <w:rPr>
          <w:rFonts w:cs="Arial"/>
          <w:sz w:val="24"/>
          <w:szCs w:val="24"/>
          <w:lang w:val="fr-CA"/>
        </w:rPr>
        <w:t>dans le cas d’athlètes dont l’</w:t>
      </w:r>
      <w:r w:rsidR="003E331B" w:rsidRPr="00CB1763">
        <w:rPr>
          <w:rFonts w:cs="Arial"/>
          <w:sz w:val="24"/>
          <w:szCs w:val="24"/>
          <w:lang w:val="fr-CA"/>
        </w:rPr>
        <w:t>état de santé est instable, p. ex., un athlète atteint d’albinisme</w:t>
      </w:r>
      <w:r w:rsidRPr="00CB1763">
        <w:rPr>
          <w:rFonts w:cs="Arial"/>
          <w:sz w:val="24"/>
          <w:szCs w:val="24"/>
          <w:lang w:val="fr-CA"/>
        </w:rPr>
        <w:t xml:space="preserve">. Les normes de </w:t>
      </w:r>
      <w:r w:rsidR="00373D29" w:rsidRPr="00CB1763">
        <w:rPr>
          <w:rFonts w:cs="Arial"/>
          <w:sz w:val="24"/>
          <w:szCs w:val="24"/>
          <w:lang w:val="fr-CA"/>
        </w:rPr>
        <w:t xml:space="preserve">classification </w:t>
      </w:r>
      <w:r w:rsidRPr="00CB1763">
        <w:rPr>
          <w:rFonts w:cs="Arial"/>
          <w:sz w:val="24"/>
          <w:szCs w:val="24"/>
          <w:lang w:val="fr-CA"/>
        </w:rPr>
        <w:t>elles-mêmes</w:t>
      </w:r>
      <w:r w:rsidR="00373D29" w:rsidRPr="00CB1763">
        <w:rPr>
          <w:rFonts w:cs="Arial"/>
          <w:sz w:val="24"/>
          <w:szCs w:val="24"/>
          <w:lang w:val="fr-CA"/>
        </w:rPr>
        <w:t xml:space="preserve"> </w:t>
      </w:r>
      <w:r w:rsidR="00875BE1" w:rsidRPr="00CB1763">
        <w:rPr>
          <w:rFonts w:cs="Arial"/>
          <w:sz w:val="24"/>
          <w:szCs w:val="24"/>
          <w:lang w:val="fr-CA"/>
        </w:rPr>
        <w:t>doivent également prévoir</w:t>
      </w:r>
      <w:r w:rsidR="00373D29" w:rsidRPr="00CB1763">
        <w:rPr>
          <w:rFonts w:cs="Arial"/>
          <w:sz w:val="24"/>
          <w:szCs w:val="24"/>
          <w:lang w:val="fr-CA"/>
        </w:rPr>
        <w:t xml:space="preserve"> </w:t>
      </w:r>
      <w:r w:rsidR="00875BE1" w:rsidRPr="00CB1763">
        <w:rPr>
          <w:rFonts w:cs="Arial"/>
          <w:sz w:val="24"/>
          <w:szCs w:val="24"/>
          <w:lang w:val="fr-CA"/>
        </w:rPr>
        <w:t xml:space="preserve">un certain écart ou une </w:t>
      </w:r>
      <w:r w:rsidR="00875BE1" w:rsidRPr="00CB1763">
        <w:rPr>
          <w:rFonts w:cs="Arial"/>
          <w:sz w:val="24"/>
          <w:szCs w:val="24"/>
          <w:lang w:val="fr-CA"/>
        </w:rPr>
        <w:lastRenderedPageBreak/>
        <w:t>certaine variation dans des cas semblables</w:t>
      </w:r>
      <w:r w:rsidR="00373D29" w:rsidRPr="00CB1763">
        <w:rPr>
          <w:rFonts w:cs="Arial"/>
          <w:sz w:val="24"/>
          <w:szCs w:val="24"/>
          <w:lang w:val="fr-CA"/>
        </w:rPr>
        <w:t xml:space="preserve"> </w:t>
      </w:r>
      <w:r w:rsidR="00875BE1" w:rsidRPr="00CB1763">
        <w:rPr>
          <w:rFonts w:cs="Arial"/>
          <w:sz w:val="24"/>
          <w:szCs w:val="24"/>
          <w:lang w:val="fr-CA"/>
        </w:rPr>
        <w:t>où la vision d’un athlète peut fluctuer pour des raisons indépendantes de sa volonté</w:t>
      </w:r>
      <w:r w:rsidR="00373D29" w:rsidRPr="00CB1763">
        <w:rPr>
          <w:rFonts w:cs="Arial"/>
          <w:sz w:val="24"/>
          <w:szCs w:val="24"/>
          <w:lang w:val="fr-CA"/>
        </w:rPr>
        <w:t>.</w:t>
      </w:r>
    </w:p>
    <w:p w:rsidR="00FA6BCC" w:rsidRPr="00CB1763" w:rsidRDefault="00FA6BCC" w:rsidP="00FA6BCC">
      <w:pPr>
        <w:pStyle w:val="ListParagraph"/>
        <w:ind w:left="360"/>
        <w:rPr>
          <w:rFonts w:cs="Arial"/>
          <w:sz w:val="24"/>
          <w:szCs w:val="24"/>
          <w:lang w:val="fr-CA"/>
        </w:rPr>
      </w:pPr>
    </w:p>
    <w:p w:rsidR="00373D29" w:rsidRPr="00CB1763" w:rsidRDefault="006C29D5" w:rsidP="00373D29">
      <w:pPr>
        <w:pStyle w:val="ListParagraph"/>
        <w:numPr>
          <w:ilvl w:val="0"/>
          <w:numId w:val="8"/>
        </w:numPr>
        <w:ind w:left="360"/>
        <w:rPr>
          <w:rFonts w:cs="Arial"/>
          <w:sz w:val="24"/>
          <w:szCs w:val="24"/>
          <w:lang w:val="fr-CA"/>
        </w:rPr>
      </w:pPr>
      <w:r w:rsidRPr="00CB1763">
        <w:rPr>
          <w:rFonts w:cs="Arial"/>
          <w:sz w:val="24"/>
          <w:szCs w:val="24"/>
          <w:lang w:val="fr-CA"/>
        </w:rPr>
        <w:t>L’ACSA</w:t>
      </w:r>
      <w:r w:rsidR="00373D29" w:rsidRPr="00CB1763">
        <w:rPr>
          <w:rFonts w:cs="Arial"/>
          <w:sz w:val="24"/>
          <w:szCs w:val="24"/>
          <w:lang w:val="fr-CA"/>
        </w:rPr>
        <w:t xml:space="preserve"> </w:t>
      </w:r>
      <w:r w:rsidR="003533ED" w:rsidRPr="00CB1763">
        <w:rPr>
          <w:rFonts w:cs="Arial"/>
          <w:sz w:val="24"/>
          <w:szCs w:val="24"/>
          <w:lang w:val="fr-CA"/>
        </w:rPr>
        <w:t>demande également avec insistance au Comité d’ajouter une catégorie « classification incomplète »</w:t>
      </w:r>
      <w:r w:rsidR="00373D29" w:rsidRPr="00CB1763">
        <w:rPr>
          <w:rFonts w:cs="Arial"/>
          <w:sz w:val="24"/>
          <w:szCs w:val="24"/>
          <w:lang w:val="fr-CA"/>
        </w:rPr>
        <w:t xml:space="preserve"> </w:t>
      </w:r>
      <w:r w:rsidR="003533ED" w:rsidRPr="00CB1763">
        <w:rPr>
          <w:rFonts w:cs="Arial"/>
          <w:sz w:val="24"/>
          <w:szCs w:val="24"/>
          <w:lang w:val="fr-CA"/>
        </w:rPr>
        <w:t xml:space="preserve">pour tenir compte des </w:t>
      </w:r>
      <w:r w:rsidR="00373D29" w:rsidRPr="00CB1763">
        <w:rPr>
          <w:rFonts w:cs="Arial"/>
          <w:sz w:val="24"/>
          <w:szCs w:val="24"/>
          <w:lang w:val="fr-CA"/>
        </w:rPr>
        <w:t xml:space="preserve">situations </w:t>
      </w:r>
      <w:r w:rsidR="003533ED" w:rsidRPr="00CB1763">
        <w:rPr>
          <w:rFonts w:cs="Arial"/>
          <w:sz w:val="24"/>
          <w:szCs w:val="24"/>
          <w:lang w:val="fr-CA"/>
        </w:rPr>
        <w:t>où un examen médical supplémentaire serait nécessaire mais ne peut être effectué sur le site des compétitions</w:t>
      </w:r>
      <w:r w:rsidRPr="00CB1763">
        <w:rPr>
          <w:rFonts w:cs="Arial"/>
          <w:sz w:val="24"/>
          <w:szCs w:val="24"/>
          <w:lang w:val="fr-CA"/>
        </w:rPr>
        <w:t xml:space="preserve">. </w:t>
      </w:r>
      <w:r w:rsidR="0024714B" w:rsidRPr="00CB1763">
        <w:rPr>
          <w:rFonts w:cs="Arial"/>
          <w:sz w:val="24"/>
          <w:szCs w:val="24"/>
          <w:lang w:val="fr-CA"/>
        </w:rPr>
        <w:t xml:space="preserve">Bien que l’athlète visé ne pourrait prendre part à la compétition, en raison des circonstances, il éviterait d’être stigmatisé </w:t>
      </w:r>
      <w:r w:rsidR="002C2A16" w:rsidRPr="00CB1763">
        <w:rPr>
          <w:rFonts w:cs="Arial"/>
          <w:sz w:val="24"/>
          <w:szCs w:val="24"/>
          <w:lang w:val="fr-CA"/>
        </w:rPr>
        <w:t>et classé non admissible à la compétition, ce qui pourrait représenter un obstacle à franchir lors des prochaines classifications.</w:t>
      </w:r>
      <w:r w:rsidR="00373D29" w:rsidRPr="00CB1763">
        <w:rPr>
          <w:rFonts w:cs="Arial"/>
          <w:sz w:val="24"/>
          <w:szCs w:val="24"/>
          <w:lang w:val="fr-CA"/>
        </w:rPr>
        <w:t xml:space="preserve"> </w:t>
      </w:r>
      <w:r w:rsidR="002C2A16" w:rsidRPr="00CB1763">
        <w:rPr>
          <w:rFonts w:cs="Arial"/>
          <w:sz w:val="24"/>
          <w:szCs w:val="24"/>
          <w:lang w:val="fr-CA"/>
        </w:rPr>
        <w:t>L’athlè</w:t>
      </w:r>
      <w:r w:rsidR="00373D29" w:rsidRPr="00CB1763">
        <w:rPr>
          <w:rFonts w:cs="Arial"/>
          <w:sz w:val="24"/>
          <w:szCs w:val="24"/>
          <w:lang w:val="fr-CA"/>
        </w:rPr>
        <w:t xml:space="preserve">te </w:t>
      </w:r>
      <w:r w:rsidR="005321A8" w:rsidRPr="00CB1763">
        <w:rPr>
          <w:rFonts w:cs="Arial"/>
          <w:sz w:val="24"/>
          <w:szCs w:val="24"/>
          <w:lang w:val="fr-CA"/>
        </w:rPr>
        <w:t>pourrait également déposer un protêt ou interjeter appel</w:t>
      </w:r>
      <w:r w:rsidR="00373D29" w:rsidRPr="00CB1763">
        <w:rPr>
          <w:rFonts w:cs="Arial"/>
          <w:sz w:val="24"/>
          <w:szCs w:val="24"/>
          <w:lang w:val="fr-CA"/>
        </w:rPr>
        <w:t xml:space="preserve"> </w:t>
      </w:r>
      <w:r w:rsidR="005321A8" w:rsidRPr="00CB1763">
        <w:rPr>
          <w:rFonts w:cs="Arial"/>
          <w:sz w:val="24"/>
          <w:szCs w:val="24"/>
          <w:lang w:val="fr-CA"/>
        </w:rPr>
        <w:t>quant à l’obligation de fournir un autre document médical, s’il juge cette demande déraisonnable</w:t>
      </w:r>
      <w:r w:rsidR="00373D29" w:rsidRPr="00CB1763">
        <w:rPr>
          <w:rFonts w:cs="Arial"/>
          <w:sz w:val="24"/>
          <w:szCs w:val="24"/>
          <w:lang w:val="fr-CA"/>
        </w:rPr>
        <w:t>.</w:t>
      </w:r>
    </w:p>
    <w:p w:rsidR="00373D29" w:rsidRPr="00CB1763" w:rsidRDefault="0085349B" w:rsidP="00373D29">
      <w:pPr>
        <w:pStyle w:val="Heading2"/>
        <w:numPr>
          <w:ilvl w:val="0"/>
          <w:numId w:val="11"/>
        </w:numPr>
        <w:spacing w:before="240" w:after="240"/>
        <w:rPr>
          <w:rFonts w:eastAsia="Times New Roman"/>
          <w:lang w:val="fr-CA"/>
        </w:rPr>
      </w:pPr>
      <w:bookmarkStart w:id="22" w:name="_Toc368318354"/>
      <w:r w:rsidRPr="00CB1763">
        <w:rPr>
          <w:rFonts w:eastAsia="Times New Roman"/>
          <w:lang w:val="fr-CA"/>
        </w:rPr>
        <w:t>Tâches précompétition</w:t>
      </w:r>
      <w:r w:rsidR="00373D29" w:rsidRPr="00CB1763">
        <w:rPr>
          <w:rFonts w:eastAsia="Times New Roman"/>
          <w:lang w:val="fr-CA"/>
        </w:rPr>
        <w:t xml:space="preserve"> (</w:t>
      </w:r>
      <w:r w:rsidR="00D00445" w:rsidRPr="00CB1763">
        <w:rPr>
          <w:rFonts w:eastAsia="Times New Roman"/>
          <w:lang w:val="fr-CA"/>
        </w:rPr>
        <w:t>Norme internationale sur l’évaluation des athlètes</w:t>
      </w:r>
      <w:r w:rsidR="00373D29" w:rsidRPr="00CB1763">
        <w:rPr>
          <w:rFonts w:eastAsia="Times New Roman"/>
          <w:lang w:val="fr-CA"/>
        </w:rPr>
        <w:t>, Section 5)</w:t>
      </w:r>
      <w:bookmarkEnd w:id="22"/>
    </w:p>
    <w:p w:rsidR="00373D29" w:rsidRPr="00CB1763" w:rsidRDefault="000B5515" w:rsidP="00373D29">
      <w:pPr>
        <w:pStyle w:val="ListParagraph"/>
        <w:numPr>
          <w:ilvl w:val="0"/>
          <w:numId w:val="8"/>
        </w:numPr>
        <w:tabs>
          <w:tab w:val="left" w:pos="360"/>
        </w:tabs>
        <w:ind w:left="360"/>
        <w:rPr>
          <w:rFonts w:cs="Arial"/>
          <w:sz w:val="24"/>
          <w:szCs w:val="24"/>
          <w:lang w:val="fr-CA"/>
        </w:rPr>
      </w:pPr>
      <w:r w:rsidRPr="00CB1763">
        <w:rPr>
          <w:rFonts w:cs="Arial"/>
          <w:sz w:val="24"/>
          <w:szCs w:val="24"/>
          <w:lang w:val="fr-CA"/>
        </w:rPr>
        <w:t>L’ACSA</w:t>
      </w:r>
      <w:r w:rsidR="00373D29" w:rsidRPr="00CB1763">
        <w:rPr>
          <w:rFonts w:cs="Arial"/>
          <w:sz w:val="24"/>
          <w:szCs w:val="24"/>
          <w:lang w:val="fr-CA"/>
        </w:rPr>
        <w:t xml:space="preserve"> </w:t>
      </w:r>
      <w:r w:rsidRPr="00CB1763">
        <w:rPr>
          <w:rFonts w:cs="Arial"/>
          <w:sz w:val="24"/>
          <w:szCs w:val="24"/>
          <w:lang w:val="fr-CA"/>
        </w:rPr>
        <w:t>propose que les mots « </w:t>
      </w:r>
      <w:r w:rsidR="0078513E" w:rsidRPr="00CB1763">
        <w:rPr>
          <w:rFonts w:cs="Arial"/>
          <w:sz w:val="24"/>
          <w:szCs w:val="24"/>
          <w:lang w:val="fr-CA"/>
        </w:rPr>
        <w:t>ou</w:t>
      </w:r>
      <w:r w:rsidR="00373D29" w:rsidRPr="00CB1763">
        <w:rPr>
          <w:rFonts w:cs="Arial"/>
          <w:sz w:val="24"/>
          <w:szCs w:val="24"/>
          <w:lang w:val="fr-CA"/>
        </w:rPr>
        <w:t xml:space="preserve"> </w:t>
      </w:r>
      <w:r w:rsidR="0078513E" w:rsidRPr="00CB1763">
        <w:rPr>
          <w:rFonts w:cs="Arial"/>
          <w:sz w:val="24"/>
          <w:szCs w:val="24"/>
          <w:lang w:val="fr-CA"/>
        </w:rPr>
        <w:t>son remplaçant</w:t>
      </w:r>
      <w:r w:rsidR="00212D13" w:rsidRPr="00CB1763">
        <w:rPr>
          <w:rFonts w:cs="Arial"/>
          <w:sz w:val="24"/>
          <w:szCs w:val="24"/>
          <w:lang w:val="fr-CA"/>
        </w:rPr>
        <w:t xml:space="preserve"> désigné</w:t>
      </w:r>
      <w:r w:rsidR="0078513E" w:rsidRPr="00CB1763">
        <w:rPr>
          <w:rFonts w:cs="Arial"/>
          <w:sz w:val="24"/>
          <w:szCs w:val="24"/>
          <w:lang w:val="fr-CA"/>
        </w:rPr>
        <w:t> »</w:t>
      </w:r>
      <w:r w:rsidR="00373D29" w:rsidRPr="00CB1763">
        <w:rPr>
          <w:rFonts w:cs="Arial"/>
          <w:sz w:val="24"/>
          <w:szCs w:val="24"/>
          <w:lang w:val="fr-CA"/>
        </w:rPr>
        <w:t xml:space="preserve"> </w:t>
      </w:r>
      <w:r w:rsidR="0078513E" w:rsidRPr="00CB1763">
        <w:rPr>
          <w:rFonts w:cs="Arial"/>
          <w:sz w:val="24"/>
          <w:szCs w:val="24"/>
          <w:lang w:val="fr-CA"/>
        </w:rPr>
        <w:t>soient ajoutés aux Sections 5.3.2, 5.4.1 et</w:t>
      </w:r>
      <w:r w:rsidR="00373D29" w:rsidRPr="00CB1763">
        <w:rPr>
          <w:rFonts w:cs="Arial"/>
          <w:sz w:val="24"/>
          <w:szCs w:val="24"/>
          <w:lang w:val="fr-CA"/>
        </w:rPr>
        <w:t xml:space="preserve"> 5.6.1 </w:t>
      </w:r>
      <w:r w:rsidR="00212D13" w:rsidRPr="00CB1763">
        <w:rPr>
          <w:rFonts w:cs="Arial"/>
          <w:sz w:val="24"/>
          <w:szCs w:val="24"/>
          <w:lang w:val="fr-CA"/>
        </w:rPr>
        <w:t>de la Norme sur l’évaluation des athlètes.</w:t>
      </w:r>
      <w:r w:rsidR="00373D29" w:rsidRPr="00CB1763">
        <w:rPr>
          <w:rFonts w:cs="Arial"/>
          <w:sz w:val="24"/>
          <w:szCs w:val="24"/>
          <w:lang w:val="fr-CA"/>
        </w:rPr>
        <w:t xml:space="preserve"> </w:t>
      </w:r>
      <w:r w:rsidR="009D0C1D" w:rsidRPr="00CB1763">
        <w:rPr>
          <w:rFonts w:cs="Arial"/>
          <w:sz w:val="24"/>
          <w:szCs w:val="24"/>
          <w:lang w:val="fr-CA"/>
        </w:rPr>
        <w:t>Cela permettrait aux responsables de la classification</w:t>
      </w:r>
      <w:r w:rsidR="00373D29" w:rsidRPr="00CB1763">
        <w:rPr>
          <w:rFonts w:cs="Arial"/>
          <w:sz w:val="24"/>
          <w:szCs w:val="24"/>
          <w:lang w:val="fr-CA"/>
        </w:rPr>
        <w:t xml:space="preserve"> </w:t>
      </w:r>
      <w:r w:rsidR="009D0C1D" w:rsidRPr="00CB1763">
        <w:rPr>
          <w:rFonts w:cs="Arial"/>
          <w:sz w:val="24"/>
          <w:szCs w:val="24"/>
          <w:lang w:val="fr-CA"/>
        </w:rPr>
        <w:t>de déléguer certaines fonctions à d’autres si la charge de travail est trop importante</w:t>
      </w:r>
      <w:r w:rsidR="00212D13" w:rsidRPr="00CB1763">
        <w:rPr>
          <w:rFonts w:cs="Arial"/>
          <w:sz w:val="24"/>
          <w:szCs w:val="24"/>
          <w:lang w:val="fr-CA"/>
        </w:rPr>
        <w:t>.</w:t>
      </w:r>
      <w:r w:rsidR="00373D29" w:rsidRPr="00CB1763">
        <w:rPr>
          <w:rFonts w:cs="Arial"/>
          <w:sz w:val="24"/>
          <w:szCs w:val="24"/>
          <w:lang w:val="fr-CA"/>
        </w:rPr>
        <w:t xml:space="preserve"> </w:t>
      </w:r>
      <w:r w:rsidR="009D0C1D" w:rsidRPr="00CB1763">
        <w:rPr>
          <w:rFonts w:cs="Arial"/>
          <w:sz w:val="24"/>
          <w:szCs w:val="24"/>
          <w:lang w:val="fr-CA"/>
        </w:rPr>
        <w:t>Par souci d’uniformité cependant,</w:t>
      </w:r>
      <w:r w:rsidR="00373D29" w:rsidRPr="00CB1763">
        <w:rPr>
          <w:rFonts w:cs="Arial"/>
          <w:sz w:val="24"/>
          <w:szCs w:val="24"/>
          <w:lang w:val="fr-CA"/>
        </w:rPr>
        <w:t xml:space="preserve"> </w:t>
      </w:r>
      <w:r w:rsidR="009D0C1D" w:rsidRPr="00CB1763">
        <w:rPr>
          <w:rFonts w:cs="Arial"/>
          <w:sz w:val="24"/>
          <w:szCs w:val="24"/>
          <w:lang w:val="fr-CA"/>
        </w:rPr>
        <w:t>le travail du remplaçant doit être examiné par le chef de la classification</w:t>
      </w:r>
      <w:r w:rsidR="00373D29" w:rsidRPr="00CB1763">
        <w:rPr>
          <w:rFonts w:cs="Arial"/>
          <w:sz w:val="24"/>
          <w:szCs w:val="24"/>
          <w:lang w:val="fr-CA"/>
        </w:rPr>
        <w:t xml:space="preserve"> </w:t>
      </w:r>
      <w:r w:rsidR="009D0C1D" w:rsidRPr="00CB1763">
        <w:rPr>
          <w:rFonts w:cs="Arial"/>
          <w:sz w:val="24"/>
          <w:szCs w:val="24"/>
          <w:lang w:val="fr-CA"/>
        </w:rPr>
        <w:t xml:space="preserve">avant </w:t>
      </w:r>
      <w:r w:rsidR="00465DCD" w:rsidRPr="00CB1763">
        <w:rPr>
          <w:rFonts w:cs="Arial"/>
          <w:sz w:val="24"/>
          <w:szCs w:val="24"/>
          <w:lang w:val="fr-CA"/>
        </w:rPr>
        <w:t>que toute décision soit prise, à savoir demander à un athlète de fournir un autre document ou</w:t>
      </w:r>
      <w:r w:rsidR="00373D29" w:rsidRPr="00CB1763">
        <w:rPr>
          <w:rFonts w:cs="Arial"/>
          <w:sz w:val="24"/>
          <w:szCs w:val="24"/>
          <w:lang w:val="fr-CA"/>
        </w:rPr>
        <w:t xml:space="preserve"> </w:t>
      </w:r>
      <w:r w:rsidR="00465DCD" w:rsidRPr="00CB1763">
        <w:rPr>
          <w:rFonts w:cs="Arial"/>
          <w:sz w:val="24"/>
          <w:szCs w:val="24"/>
          <w:lang w:val="fr-CA"/>
        </w:rPr>
        <w:t>le déclarer non admissible à la compétition</w:t>
      </w:r>
      <w:r w:rsidR="00212D13" w:rsidRPr="00CB1763">
        <w:rPr>
          <w:rFonts w:cs="Arial"/>
          <w:sz w:val="24"/>
          <w:szCs w:val="24"/>
          <w:lang w:val="fr-CA"/>
        </w:rPr>
        <w:t>.</w:t>
      </w:r>
    </w:p>
    <w:p w:rsidR="00373D29" w:rsidRPr="00CB1763" w:rsidRDefault="0085349B" w:rsidP="00373D29">
      <w:pPr>
        <w:pStyle w:val="Heading2"/>
        <w:numPr>
          <w:ilvl w:val="0"/>
          <w:numId w:val="11"/>
        </w:numPr>
        <w:spacing w:before="240" w:after="240"/>
        <w:rPr>
          <w:rFonts w:eastAsia="Times New Roman"/>
          <w:lang w:val="fr-CA"/>
        </w:rPr>
      </w:pPr>
      <w:bookmarkStart w:id="23" w:name="_Toc368318355"/>
      <w:r w:rsidRPr="00CB1763">
        <w:rPr>
          <w:rFonts w:eastAsia="Times New Roman"/>
          <w:lang w:val="fr-CA"/>
        </w:rPr>
        <w:t>Pré</w:t>
      </w:r>
      <w:r w:rsidR="00373D29" w:rsidRPr="00CB1763">
        <w:rPr>
          <w:rFonts w:eastAsia="Times New Roman"/>
          <w:lang w:val="fr-CA"/>
        </w:rPr>
        <w:t>sentation</w:t>
      </w:r>
      <w:r w:rsidRPr="00CB1763">
        <w:rPr>
          <w:rFonts w:eastAsia="Times New Roman"/>
          <w:lang w:val="fr-CA"/>
        </w:rPr>
        <w:t xml:space="preserve"> des athlètes</w:t>
      </w:r>
      <w:r w:rsidR="00373D29" w:rsidRPr="00CB1763">
        <w:rPr>
          <w:rFonts w:eastAsia="Times New Roman"/>
          <w:lang w:val="fr-CA"/>
        </w:rPr>
        <w:t xml:space="preserve"> (</w:t>
      </w:r>
      <w:r w:rsidR="00D00445" w:rsidRPr="00CB1763">
        <w:rPr>
          <w:rFonts w:eastAsia="Times New Roman"/>
          <w:lang w:val="fr-CA"/>
        </w:rPr>
        <w:t xml:space="preserve">Norme internationale sur l’évaluation des athlètes, </w:t>
      </w:r>
      <w:r w:rsidR="00373D29" w:rsidRPr="00CB1763">
        <w:rPr>
          <w:rFonts w:eastAsia="Times New Roman"/>
          <w:lang w:val="fr-CA"/>
        </w:rPr>
        <w:t>Section 6)</w:t>
      </w:r>
      <w:bookmarkEnd w:id="23"/>
    </w:p>
    <w:p w:rsidR="00373D29" w:rsidRPr="00CB1763" w:rsidRDefault="00212D13" w:rsidP="00373D29">
      <w:pPr>
        <w:pStyle w:val="ListParagraph"/>
        <w:numPr>
          <w:ilvl w:val="0"/>
          <w:numId w:val="8"/>
        </w:numPr>
        <w:ind w:left="360"/>
        <w:rPr>
          <w:rFonts w:cs="Arial"/>
          <w:sz w:val="24"/>
          <w:szCs w:val="24"/>
          <w:lang w:val="fr-CA"/>
        </w:rPr>
      </w:pPr>
      <w:r w:rsidRPr="00CB1763">
        <w:rPr>
          <w:rFonts w:cs="Arial"/>
          <w:sz w:val="24"/>
          <w:szCs w:val="24"/>
          <w:lang w:val="fr-CA"/>
        </w:rPr>
        <w:t>L’ACSA</w:t>
      </w:r>
      <w:r w:rsidR="00373D29" w:rsidRPr="00CB1763">
        <w:rPr>
          <w:rFonts w:cs="Arial"/>
          <w:sz w:val="24"/>
          <w:szCs w:val="24"/>
          <w:lang w:val="fr-CA"/>
        </w:rPr>
        <w:t xml:space="preserve"> </w:t>
      </w:r>
      <w:r w:rsidR="002A4402" w:rsidRPr="00CB1763">
        <w:rPr>
          <w:rFonts w:cs="Arial"/>
          <w:sz w:val="24"/>
          <w:szCs w:val="24"/>
          <w:lang w:val="fr-CA"/>
        </w:rPr>
        <w:t>revient à nouveau sur les mêmes points qu’elle a soulevés</w:t>
      </w:r>
      <w:r w:rsidR="00373D29" w:rsidRPr="00CB1763">
        <w:rPr>
          <w:rFonts w:cs="Arial"/>
          <w:sz w:val="24"/>
          <w:szCs w:val="24"/>
          <w:lang w:val="fr-CA"/>
        </w:rPr>
        <w:t xml:space="preserve"> </w:t>
      </w:r>
      <w:r w:rsidR="002A4402" w:rsidRPr="00CB1763">
        <w:rPr>
          <w:rFonts w:cs="Arial"/>
          <w:sz w:val="24"/>
          <w:szCs w:val="24"/>
          <w:lang w:val="fr-CA"/>
        </w:rPr>
        <w:t>concernant les</w:t>
      </w:r>
      <w:r w:rsidR="005A1771" w:rsidRPr="00CB1763">
        <w:rPr>
          <w:rFonts w:cs="Arial"/>
          <w:sz w:val="24"/>
          <w:szCs w:val="24"/>
          <w:lang w:val="fr-CA"/>
        </w:rPr>
        <w:t xml:space="preserve"> Sections</w:t>
      </w:r>
      <w:r w:rsidR="002A4402" w:rsidRPr="00CB1763">
        <w:rPr>
          <w:rFonts w:cs="Arial"/>
          <w:sz w:val="24"/>
          <w:szCs w:val="24"/>
          <w:lang w:val="fr-CA"/>
        </w:rPr>
        <w:t xml:space="preserve"> 9 et 10 du Code, ci-dessus.</w:t>
      </w:r>
      <w:r w:rsidR="00373D29" w:rsidRPr="00CB1763">
        <w:rPr>
          <w:rFonts w:cs="Arial"/>
          <w:sz w:val="24"/>
          <w:szCs w:val="24"/>
          <w:lang w:val="fr-CA"/>
        </w:rPr>
        <w:t xml:space="preserve"> </w:t>
      </w:r>
      <w:r w:rsidR="00F3146D" w:rsidRPr="00CB1763">
        <w:rPr>
          <w:rFonts w:cs="Arial"/>
          <w:sz w:val="24"/>
          <w:szCs w:val="24"/>
          <w:lang w:val="fr-CA"/>
        </w:rPr>
        <w:t>Les documents médicaux en lien avec la catégorie d’un athlète</w:t>
      </w:r>
      <w:r w:rsidR="00373D29" w:rsidRPr="00CB1763">
        <w:rPr>
          <w:rFonts w:cs="Arial"/>
          <w:sz w:val="24"/>
          <w:szCs w:val="24"/>
          <w:lang w:val="fr-CA"/>
        </w:rPr>
        <w:t xml:space="preserve"> </w:t>
      </w:r>
      <w:r w:rsidR="00F3146D" w:rsidRPr="00CB1763">
        <w:rPr>
          <w:rFonts w:cs="Arial"/>
          <w:sz w:val="24"/>
          <w:szCs w:val="24"/>
          <w:lang w:val="fr-CA"/>
        </w:rPr>
        <w:t>doivent être transmis au chef de la classification, ou à son remplaçant désigné, bien avant la compé</w:t>
      </w:r>
      <w:r w:rsidR="00373D29" w:rsidRPr="00CB1763">
        <w:rPr>
          <w:rFonts w:cs="Arial"/>
          <w:sz w:val="24"/>
          <w:szCs w:val="24"/>
          <w:lang w:val="fr-CA"/>
        </w:rPr>
        <w:t xml:space="preserve">tition </w:t>
      </w:r>
      <w:r w:rsidR="00F3146D" w:rsidRPr="00CB1763">
        <w:rPr>
          <w:rFonts w:cs="Arial"/>
          <w:sz w:val="24"/>
          <w:szCs w:val="24"/>
          <w:lang w:val="fr-CA"/>
        </w:rPr>
        <w:t>pour que l’on puisse s’assurer que le dossier est complet</w:t>
      </w:r>
      <w:r w:rsidR="00373D29" w:rsidRPr="00CB1763">
        <w:rPr>
          <w:rFonts w:cs="Arial"/>
          <w:sz w:val="24"/>
          <w:szCs w:val="24"/>
          <w:lang w:val="fr-CA"/>
        </w:rPr>
        <w:t>.</w:t>
      </w:r>
    </w:p>
    <w:p w:rsidR="00373D29" w:rsidRPr="00CB1763" w:rsidRDefault="00373D29" w:rsidP="00373D29">
      <w:pPr>
        <w:pStyle w:val="ListParagraph"/>
        <w:ind w:left="360"/>
        <w:rPr>
          <w:rFonts w:cs="Arial"/>
          <w:sz w:val="24"/>
          <w:szCs w:val="24"/>
          <w:lang w:val="fr-CA"/>
        </w:rPr>
      </w:pPr>
    </w:p>
    <w:p w:rsidR="00373D29" w:rsidRPr="00CB1763" w:rsidRDefault="00212D13" w:rsidP="00373D29">
      <w:pPr>
        <w:pStyle w:val="ListParagraph"/>
        <w:numPr>
          <w:ilvl w:val="0"/>
          <w:numId w:val="8"/>
        </w:numPr>
        <w:ind w:left="360"/>
        <w:rPr>
          <w:rFonts w:cs="Arial"/>
          <w:sz w:val="24"/>
          <w:szCs w:val="24"/>
          <w:lang w:val="fr-CA"/>
        </w:rPr>
      </w:pPr>
      <w:r w:rsidRPr="00CB1763">
        <w:rPr>
          <w:rFonts w:cs="Arial"/>
          <w:sz w:val="24"/>
          <w:szCs w:val="24"/>
          <w:lang w:val="fr-CA"/>
        </w:rPr>
        <w:t>L’ACSA</w:t>
      </w:r>
      <w:r w:rsidR="00373D29" w:rsidRPr="00CB1763">
        <w:rPr>
          <w:rFonts w:cs="Arial"/>
          <w:sz w:val="24"/>
          <w:szCs w:val="24"/>
          <w:lang w:val="fr-CA"/>
        </w:rPr>
        <w:t xml:space="preserve"> </w:t>
      </w:r>
      <w:r w:rsidR="00D849A3" w:rsidRPr="00CB1763">
        <w:rPr>
          <w:rFonts w:cs="Arial"/>
          <w:sz w:val="24"/>
          <w:szCs w:val="24"/>
          <w:lang w:val="fr-CA"/>
        </w:rPr>
        <w:t>est d’avis que la S</w:t>
      </w:r>
      <w:r w:rsidR="00373D29" w:rsidRPr="00CB1763">
        <w:rPr>
          <w:rFonts w:cs="Arial"/>
          <w:sz w:val="24"/>
          <w:szCs w:val="24"/>
          <w:lang w:val="fr-CA"/>
        </w:rPr>
        <w:t xml:space="preserve">ection 6.1.3 </w:t>
      </w:r>
      <w:r w:rsidR="00D849A3" w:rsidRPr="00CB1763">
        <w:rPr>
          <w:rFonts w:cs="Arial"/>
          <w:sz w:val="24"/>
          <w:szCs w:val="24"/>
          <w:lang w:val="fr-CA"/>
        </w:rPr>
        <w:t>devrait être modifiée</w:t>
      </w:r>
      <w:r w:rsidR="00373D29" w:rsidRPr="00CB1763">
        <w:rPr>
          <w:rFonts w:cs="Arial"/>
          <w:sz w:val="24"/>
          <w:szCs w:val="24"/>
          <w:lang w:val="fr-CA"/>
        </w:rPr>
        <w:t xml:space="preserve"> </w:t>
      </w:r>
      <w:r w:rsidR="00D849A3" w:rsidRPr="00CB1763">
        <w:rPr>
          <w:rFonts w:cs="Arial"/>
          <w:sz w:val="24"/>
          <w:szCs w:val="24"/>
          <w:lang w:val="fr-CA"/>
        </w:rPr>
        <w:t xml:space="preserve">pour exiger que les athlètes soient accompagnés d’un représentant bien au fait de </w:t>
      </w:r>
      <w:r w:rsidR="003C50FA" w:rsidRPr="00CB1763">
        <w:rPr>
          <w:rFonts w:cs="Arial"/>
          <w:sz w:val="24"/>
          <w:szCs w:val="24"/>
          <w:lang w:val="fr-CA"/>
        </w:rPr>
        <w:t>l’état de santé général</w:t>
      </w:r>
      <w:r w:rsidR="00D849A3" w:rsidRPr="00CB1763">
        <w:rPr>
          <w:rFonts w:cs="Arial"/>
          <w:sz w:val="24"/>
          <w:szCs w:val="24"/>
          <w:lang w:val="fr-CA"/>
        </w:rPr>
        <w:t xml:space="preserve"> et des capacités de l’athlète, soit un entraîneur, un membre du personnel de soutien ou un chef d’équipe.</w:t>
      </w:r>
      <w:r w:rsidR="00373D29" w:rsidRPr="00CB1763">
        <w:rPr>
          <w:rFonts w:cs="Arial"/>
          <w:sz w:val="24"/>
          <w:szCs w:val="24"/>
          <w:lang w:val="fr-CA"/>
        </w:rPr>
        <w:t xml:space="preserve"> </w:t>
      </w:r>
      <w:r w:rsidR="003C50FA" w:rsidRPr="00CB1763">
        <w:rPr>
          <w:rFonts w:cs="Arial"/>
          <w:sz w:val="24"/>
          <w:szCs w:val="24"/>
          <w:lang w:val="fr-CA"/>
        </w:rPr>
        <w:t>Donner la responsabilité au</w:t>
      </w:r>
      <w:r w:rsidR="00373D29" w:rsidRPr="00CB1763">
        <w:rPr>
          <w:rFonts w:cs="Arial"/>
          <w:sz w:val="24"/>
          <w:szCs w:val="24"/>
          <w:lang w:val="fr-CA"/>
        </w:rPr>
        <w:t xml:space="preserve"> </w:t>
      </w:r>
      <w:r w:rsidR="00D849A3" w:rsidRPr="00CB1763">
        <w:rPr>
          <w:rFonts w:cs="Arial"/>
          <w:sz w:val="24"/>
          <w:szCs w:val="24"/>
          <w:lang w:val="fr-CA"/>
        </w:rPr>
        <w:t>CNP</w:t>
      </w:r>
      <w:r w:rsidR="00373D29" w:rsidRPr="00CB1763">
        <w:rPr>
          <w:rFonts w:cs="Arial"/>
          <w:sz w:val="24"/>
          <w:szCs w:val="24"/>
          <w:lang w:val="fr-CA"/>
        </w:rPr>
        <w:t xml:space="preserve"> </w:t>
      </w:r>
      <w:r w:rsidR="003C50FA" w:rsidRPr="00CB1763">
        <w:rPr>
          <w:rFonts w:cs="Arial"/>
          <w:sz w:val="24"/>
          <w:szCs w:val="24"/>
          <w:lang w:val="fr-CA"/>
        </w:rPr>
        <w:t>de choisir la personne qui accompagne l’athlè</w:t>
      </w:r>
      <w:r w:rsidR="00373D29" w:rsidRPr="00CB1763">
        <w:rPr>
          <w:rFonts w:cs="Arial"/>
          <w:sz w:val="24"/>
          <w:szCs w:val="24"/>
          <w:lang w:val="fr-CA"/>
        </w:rPr>
        <w:t xml:space="preserve">te </w:t>
      </w:r>
      <w:r w:rsidR="003C50FA" w:rsidRPr="00CB1763">
        <w:rPr>
          <w:rFonts w:cs="Arial"/>
          <w:sz w:val="24"/>
          <w:szCs w:val="24"/>
          <w:lang w:val="fr-CA"/>
        </w:rPr>
        <w:t>ouvre la voie au favoritisme et à la tricherie, car</w:t>
      </w:r>
      <w:r w:rsidR="00373D29" w:rsidRPr="00CB1763">
        <w:rPr>
          <w:rFonts w:cs="Arial"/>
          <w:sz w:val="24"/>
          <w:szCs w:val="24"/>
          <w:lang w:val="fr-CA"/>
        </w:rPr>
        <w:t xml:space="preserve"> </w:t>
      </w:r>
      <w:r w:rsidR="003C50FA" w:rsidRPr="00CB1763">
        <w:rPr>
          <w:rFonts w:cs="Arial"/>
          <w:sz w:val="24"/>
          <w:szCs w:val="24"/>
          <w:lang w:val="fr-CA"/>
        </w:rPr>
        <w:t>le représentant en question pourrait ne pas savoir si l’athlète fait sciemment une fausse déclaration sur ses capacités ou sa déficience devant le jury de classification</w:t>
      </w:r>
      <w:r w:rsidR="00373D29" w:rsidRPr="00CB1763">
        <w:rPr>
          <w:rFonts w:cs="Arial"/>
          <w:sz w:val="24"/>
          <w:szCs w:val="24"/>
          <w:lang w:val="fr-CA"/>
        </w:rPr>
        <w:t>.</w:t>
      </w:r>
    </w:p>
    <w:p w:rsidR="00373D29" w:rsidRPr="00CB1763" w:rsidRDefault="00373D29" w:rsidP="00373D29">
      <w:pPr>
        <w:pStyle w:val="ListParagraph"/>
        <w:spacing w:before="240" w:after="240"/>
        <w:ind w:left="360"/>
        <w:rPr>
          <w:rFonts w:cs="Arial"/>
          <w:sz w:val="24"/>
          <w:szCs w:val="24"/>
          <w:lang w:val="fr-CA"/>
        </w:rPr>
      </w:pPr>
    </w:p>
    <w:p w:rsidR="00373D29" w:rsidRPr="00CB1763" w:rsidRDefault="003C50FA" w:rsidP="00373D29">
      <w:pPr>
        <w:pStyle w:val="ListParagraph"/>
        <w:numPr>
          <w:ilvl w:val="0"/>
          <w:numId w:val="8"/>
        </w:numPr>
        <w:spacing w:before="240" w:after="240"/>
        <w:ind w:left="360"/>
        <w:rPr>
          <w:rFonts w:cs="Arial"/>
          <w:sz w:val="24"/>
          <w:szCs w:val="24"/>
          <w:lang w:val="fr-CA"/>
        </w:rPr>
      </w:pPr>
      <w:r w:rsidRPr="00CB1763">
        <w:rPr>
          <w:rFonts w:cs="Arial"/>
          <w:sz w:val="24"/>
          <w:szCs w:val="24"/>
          <w:lang w:val="fr-CA"/>
        </w:rPr>
        <w:t>L’ACSA est d’avis que des changements doivent être apportés à l’article</w:t>
      </w:r>
      <w:r w:rsidR="00373D29" w:rsidRPr="00CB1763">
        <w:rPr>
          <w:rFonts w:cs="Arial"/>
          <w:sz w:val="24"/>
          <w:szCs w:val="24"/>
          <w:lang w:val="fr-CA"/>
        </w:rPr>
        <w:t xml:space="preserve"> 6.2.3 </w:t>
      </w:r>
      <w:r w:rsidRPr="00CB1763">
        <w:rPr>
          <w:rFonts w:cs="Arial"/>
          <w:sz w:val="24"/>
          <w:szCs w:val="24"/>
          <w:lang w:val="fr-CA"/>
        </w:rPr>
        <w:t>de la Norme sur l’évaluation des athlè</w:t>
      </w:r>
      <w:r w:rsidR="00373D29" w:rsidRPr="00CB1763">
        <w:rPr>
          <w:rFonts w:cs="Arial"/>
          <w:sz w:val="24"/>
          <w:szCs w:val="24"/>
          <w:lang w:val="fr-CA"/>
        </w:rPr>
        <w:t>te</w:t>
      </w:r>
      <w:r w:rsidRPr="00CB1763">
        <w:rPr>
          <w:rFonts w:cs="Arial"/>
          <w:sz w:val="24"/>
          <w:szCs w:val="24"/>
          <w:lang w:val="fr-CA"/>
        </w:rPr>
        <w:t>s</w:t>
      </w:r>
      <w:r w:rsidR="00373D29" w:rsidRPr="00CB1763">
        <w:rPr>
          <w:rFonts w:cs="Arial"/>
          <w:sz w:val="24"/>
          <w:szCs w:val="24"/>
          <w:lang w:val="fr-CA"/>
        </w:rPr>
        <w:t xml:space="preserve"> </w:t>
      </w:r>
      <w:r w:rsidR="00026773" w:rsidRPr="00CB1763">
        <w:rPr>
          <w:rFonts w:cs="Arial"/>
          <w:sz w:val="24"/>
          <w:szCs w:val="24"/>
          <w:lang w:val="fr-CA"/>
        </w:rPr>
        <w:t>concernant l’utilisation de procédures invasives de la part du responsable de la classification.</w:t>
      </w:r>
      <w:r w:rsidR="00373D29" w:rsidRPr="00CB1763">
        <w:rPr>
          <w:rFonts w:cs="Arial"/>
          <w:sz w:val="24"/>
          <w:szCs w:val="24"/>
          <w:lang w:val="fr-CA"/>
        </w:rPr>
        <w:t xml:space="preserve"> </w:t>
      </w:r>
      <w:r w:rsidR="00EA49C5" w:rsidRPr="00CB1763">
        <w:rPr>
          <w:rFonts w:cs="Arial"/>
          <w:sz w:val="24"/>
          <w:szCs w:val="24"/>
          <w:lang w:val="fr-CA"/>
        </w:rPr>
        <w:t>L’Association a déjà produit des documents détaillés sur cette question, dès le départ, aux Sections 9 et</w:t>
      </w:r>
      <w:r w:rsidR="00373D29" w:rsidRPr="00CB1763">
        <w:rPr>
          <w:rFonts w:cs="Arial"/>
          <w:sz w:val="24"/>
          <w:szCs w:val="24"/>
          <w:lang w:val="fr-CA"/>
        </w:rPr>
        <w:t xml:space="preserve"> 10 </w:t>
      </w:r>
      <w:r w:rsidR="00EA49C5" w:rsidRPr="00CB1763">
        <w:rPr>
          <w:rFonts w:cs="Arial"/>
          <w:sz w:val="24"/>
          <w:szCs w:val="24"/>
          <w:lang w:val="fr-CA"/>
        </w:rPr>
        <w:t>du</w:t>
      </w:r>
      <w:r w:rsidR="00373D29" w:rsidRPr="00CB1763">
        <w:rPr>
          <w:rFonts w:cs="Arial"/>
          <w:sz w:val="24"/>
          <w:szCs w:val="24"/>
          <w:lang w:val="fr-CA"/>
        </w:rPr>
        <w:t xml:space="preserve"> Code, </w:t>
      </w:r>
      <w:r w:rsidR="00EA49C5" w:rsidRPr="00CB1763">
        <w:rPr>
          <w:rFonts w:cs="Arial"/>
          <w:sz w:val="24"/>
          <w:szCs w:val="24"/>
          <w:lang w:val="fr-CA"/>
        </w:rPr>
        <w:t>ci-dessus.</w:t>
      </w:r>
      <w:r w:rsidR="00373D29" w:rsidRPr="00CB1763">
        <w:rPr>
          <w:rFonts w:cs="Arial"/>
          <w:sz w:val="24"/>
          <w:szCs w:val="24"/>
          <w:lang w:val="fr-CA"/>
        </w:rPr>
        <w:t xml:space="preserve"> </w:t>
      </w:r>
      <w:r w:rsidR="00A36F3C" w:rsidRPr="00CB1763">
        <w:rPr>
          <w:rFonts w:cs="Arial"/>
          <w:sz w:val="24"/>
          <w:szCs w:val="24"/>
          <w:lang w:val="fr-CA"/>
        </w:rPr>
        <w:t>Le responsable de la classification</w:t>
      </w:r>
      <w:r w:rsidR="00373D29" w:rsidRPr="00CB1763">
        <w:rPr>
          <w:rFonts w:cs="Arial"/>
          <w:sz w:val="24"/>
          <w:szCs w:val="24"/>
          <w:lang w:val="fr-CA"/>
        </w:rPr>
        <w:t xml:space="preserve"> </w:t>
      </w:r>
      <w:r w:rsidR="00A36F3C" w:rsidRPr="00CB1763">
        <w:rPr>
          <w:rFonts w:cs="Arial"/>
          <w:sz w:val="24"/>
          <w:szCs w:val="24"/>
          <w:lang w:val="fr-CA"/>
        </w:rPr>
        <w:t>doit être tenu d’offrir d’autres</w:t>
      </w:r>
      <w:r w:rsidR="00373D29" w:rsidRPr="00CB1763">
        <w:rPr>
          <w:rFonts w:cs="Arial"/>
          <w:sz w:val="24"/>
          <w:szCs w:val="24"/>
          <w:lang w:val="fr-CA"/>
        </w:rPr>
        <w:t xml:space="preserve"> options </w:t>
      </w:r>
      <w:r w:rsidR="00A36F3C" w:rsidRPr="00CB1763">
        <w:rPr>
          <w:rFonts w:cs="Arial"/>
          <w:sz w:val="24"/>
          <w:szCs w:val="24"/>
          <w:lang w:val="fr-CA"/>
        </w:rPr>
        <w:lastRenderedPageBreak/>
        <w:t>au moment de procéder à un test ou à une procédure, si cela implique une procédure invasive, susceptible d’atteindre l’intégrité physique de l’athlète,</w:t>
      </w:r>
      <w:r w:rsidR="00373D29" w:rsidRPr="00CB1763">
        <w:rPr>
          <w:rFonts w:cs="Arial"/>
          <w:sz w:val="24"/>
          <w:szCs w:val="24"/>
          <w:lang w:val="fr-CA"/>
        </w:rPr>
        <w:t xml:space="preserve"> </w:t>
      </w:r>
      <w:r w:rsidR="00A36F3C" w:rsidRPr="00CB1763">
        <w:rPr>
          <w:rFonts w:cs="Arial"/>
          <w:sz w:val="24"/>
          <w:szCs w:val="24"/>
          <w:lang w:val="fr-CA"/>
        </w:rPr>
        <w:t xml:space="preserve">pour </w:t>
      </w:r>
      <w:r w:rsidR="00B377CA" w:rsidRPr="00CB1763">
        <w:rPr>
          <w:rFonts w:cs="Arial"/>
          <w:sz w:val="24"/>
          <w:szCs w:val="24"/>
          <w:lang w:val="fr-CA"/>
        </w:rPr>
        <w:t xml:space="preserve">établir la </w:t>
      </w:r>
      <w:r w:rsidR="00373D29" w:rsidRPr="00CB1763">
        <w:rPr>
          <w:rFonts w:cs="Arial"/>
          <w:sz w:val="24"/>
          <w:szCs w:val="24"/>
          <w:lang w:val="fr-CA"/>
        </w:rPr>
        <w:t>classificat</w:t>
      </w:r>
      <w:r w:rsidR="00B377CA" w:rsidRPr="00CB1763">
        <w:rPr>
          <w:rFonts w:cs="Arial"/>
          <w:sz w:val="24"/>
          <w:szCs w:val="24"/>
          <w:lang w:val="fr-CA"/>
        </w:rPr>
        <w:t>ion, lorsque l’athlè</w:t>
      </w:r>
      <w:r w:rsidR="00373D29" w:rsidRPr="00CB1763">
        <w:rPr>
          <w:rFonts w:cs="Arial"/>
          <w:sz w:val="24"/>
          <w:szCs w:val="24"/>
          <w:lang w:val="fr-CA"/>
        </w:rPr>
        <w:t xml:space="preserve">te </w:t>
      </w:r>
      <w:r w:rsidR="00B377CA" w:rsidRPr="00CB1763">
        <w:rPr>
          <w:rFonts w:cs="Arial"/>
          <w:sz w:val="24"/>
          <w:szCs w:val="24"/>
          <w:lang w:val="fr-CA"/>
        </w:rPr>
        <w:t>a une allergie ou autre</w:t>
      </w:r>
      <w:r w:rsidR="00373D29" w:rsidRPr="00CB1763">
        <w:rPr>
          <w:rFonts w:cs="Arial"/>
          <w:sz w:val="24"/>
          <w:szCs w:val="24"/>
          <w:lang w:val="fr-CA"/>
        </w:rPr>
        <w:t xml:space="preserve"> </w:t>
      </w:r>
      <w:r w:rsidR="00B377CA" w:rsidRPr="00CB1763">
        <w:rPr>
          <w:rFonts w:cs="Arial"/>
          <w:sz w:val="24"/>
          <w:szCs w:val="24"/>
          <w:lang w:val="fr-CA"/>
        </w:rPr>
        <w:t>trouble médical qui empêche de compléter le processus de</w:t>
      </w:r>
      <w:r w:rsidR="00373D29" w:rsidRPr="00CB1763">
        <w:rPr>
          <w:rFonts w:cs="Arial"/>
          <w:sz w:val="24"/>
          <w:szCs w:val="24"/>
          <w:lang w:val="fr-CA"/>
        </w:rPr>
        <w:t xml:space="preserve"> classification </w:t>
      </w:r>
      <w:r w:rsidR="00B377CA" w:rsidRPr="00CB1763">
        <w:rPr>
          <w:rFonts w:cs="Arial"/>
          <w:sz w:val="24"/>
          <w:szCs w:val="24"/>
          <w:lang w:val="fr-CA"/>
        </w:rPr>
        <w:t>selon la méthode choisie par le responsable de la classification.</w:t>
      </w:r>
    </w:p>
    <w:p w:rsidR="00373D29" w:rsidRPr="00CB1763" w:rsidRDefault="00373D29" w:rsidP="00373D29">
      <w:pPr>
        <w:pStyle w:val="ListParagraph"/>
        <w:rPr>
          <w:rFonts w:cs="Arial"/>
          <w:sz w:val="24"/>
          <w:szCs w:val="24"/>
          <w:lang w:val="fr-CA"/>
        </w:rPr>
      </w:pPr>
    </w:p>
    <w:p w:rsidR="00373D29" w:rsidRPr="00CB1763" w:rsidRDefault="00A84E92" w:rsidP="00373D29">
      <w:pPr>
        <w:pStyle w:val="ListParagraph"/>
        <w:numPr>
          <w:ilvl w:val="0"/>
          <w:numId w:val="8"/>
        </w:numPr>
        <w:spacing w:before="240" w:after="240"/>
        <w:ind w:left="360"/>
        <w:rPr>
          <w:rFonts w:cs="Arial"/>
          <w:sz w:val="24"/>
          <w:szCs w:val="24"/>
          <w:lang w:val="fr-CA"/>
        </w:rPr>
      </w:pPr>
      <w:r w:rsidRPr="00CB1763">
        <w:rPr>
          <w:rFonts w:cs="Arial"/>
          <w:sz w:val="24"/>
          <w:szCs w:val="24"/>
          <w:lang w:val="fr-CA"/>
        </w:rPr>
        <w:t>Dans les instructions portant sur le processus de c</w:t>
      </w:r>
      <w:r w:rsidR="00373D29" w:rsidRPr="00CB1763">
        <w:rPr>
          <w:rFonts w:cs="Arial"/>
          <w:sz w:val="24"/>
          <w:szCs w:val="24"/>
          <w:lang w:val="fr-CA"/>
        </w:rPr>
        <w:t xml:space="preserve">lassification </w:t>
      </w:r>
      <w:r w:rsidRPr="00CB1763">
        <w:rPr>
          <w:rFonts w:cs="Arial"/>
          <w:sz w:val="24"/>
          <w:szCs w:val="24"/>
          <w:lang w:val="fr-CA"/>
        </w:rPr>
        <w:t>décrit</w:t>
      </w:r>
      <w:r w:rsidR="00373D29" w:rsidRPr="00CB1763">
        <w:rPr>
          <w:rFonts w:cs="Arial"/>
          <w:sz w:val="24"/>
          <w:szCs w:val="24"/>
          <w:lang w:val="fr-CA"/>
        </w:rPr>
        <w:t xml:space="preserve"> </w:t>
      </w:r>
      <w:r w:rsidR="00A36F3C" w:rsidRPr="00CB1763">
        <w:rPr>
          <w:rFonts w:cs="Arial"/>
          <w:sz w:val="24"/>
          <w:szCs w:val="24"/>
          <w:lang w:val="fr-CA"/>
        </w:rPr>
        <w:t>à la S</w:t>
      </w:r>
      <w:r w:rsidR="00373D29" w:rsidRPr="00CB1763">
        <w:rPr>
          <w:rFonts w:cs="Arial"/>
          <w:sz w:val="24"/>
          <w:szCs w:val="24"/>
          <w:lang w:val="fr-CA"/>
        </w:rPr>
        <w:t xml:space="preserve">ection 6.3, </w:t>
      </w:r>
      <w:r w:rsidR="00A36F3C" w:rsidRPr="00CB1763">
        <w:rPr>
          <w:rFonts w:cs="Arial"/>
          <w:sz w:val="24"/>
          <w:szCs w:val="24"/>
          <w:lang w:val="fr-CA"/>
        </w:rPr>
        <w:t>le responsable de la classification</w:t>
      </w:r>
      <w:r w:rsidR="00373D29" w:rsidRPr="00CB1763">
        <w:rPr>
          <w:rFonts w:cs="Arial"/>
          <w:sz w:val="24"/>
          <w:szCs w:val="24"/>
          <w:lang w:val="fr-CA"/>
        </w:rPr>
        <w:t xml:space="preserve"> </w:t>
      </w:r>
      <w:r w:rsidRPr="00CB1763">
        <w:rPr>
          <w:rFonts w:cs="Arial"/>
          <w:sz w:val="24"/>
          <w:szCs w:val="24"/>
          <w:lang w:val="fr-CA"/>
        </w:rPr>
        <w:t>devrait être tenu de rappeler à l’athlè</w:t>
      </w:r>
      <w:r w:rsidR="00373D29" w:rsidRPr="00CB1763">
        <w:rPr>
          <w:rFonts w:cs="Arial"/>
          <w:sz w:val="24"/>
          <w:szCs w:val="24"/>
          <w:lang w:val="fr-CA"/>
        </w:rPr>
        <w:t xml:space="preserve">te </w:t>
      </w:r>
      <w:r w:rsidRPr="00CB1763">
        <w:rPr>
          <w:rFonts w:cs="Arial"/>
          <w:sz w:val="24"/>
          <w:szCs w:val="24"/>
          <w:lang w:val="fr-CA"/>
        </w:rPr>
        <w:t>à quel point il est répréhensible de faire sciemment une fausse déclaration sur ses</w:t>
      </w:r>
      <w:r w:rsidR="00CF2587" w:rsidRPr="00CB1763">
        <w:rPr>
          <w:rFonts w:cs="Arial"/>
          <w:sz w:val="24"/>
          <w:szCs w:val="24"/>
          <w:lang w:val="fr-CA"/>
        </w:rPr>
        <w:t xml:space="preserve"> compétences ou ses habiletés, et les consé</w:t>
      </w:r>
      <w:r w:rsidR="00373D29" w:rsidRPr="00CB1763">
        <w:rPr>
          <w:rFonts w:cs="Arial"/>
          <w:sz w:val="24"/>
          <w:szCs w:val="24"/>
          <w:lang w:val="fr-CA"/>
        </w:rPr>
        <w:t xml:space="preserve">quences </w:t>
      </w:r>
      <w:r w:rsidR="00CF2587" w:rsidRPr="00CB1763">
        <w:rPr>
          <w:rFonts w:cs="Arial"/>
          <w:sz w:val="24"/>
          <w:szCs w:val="24"/>
          <w:lang w:val="fr-CA"/>
        </w:rPr>
        <w:t>auxquelles il s’expose.</w:t>
      </w:r>
      <w:r w:rsidR="00373D29" w:rsidRPr="00CB1763">
        <w:rPr>
          <w:rFonts w:cs="Arial"/>
          <w:sz w:val="24"/>
          <w:szCs w:val="24"/>
          <w:lang w:val="fr-CA"/>
        </w:rPr>
        <w:t xml:space="preserve"> </w:t>
      </w:r>
      <w:r w:rsidR="007E2CFF" w:rsidRPr="00CB1763">
        <w:rPr>
          <w:rFonts w:cs="Arial"/>
          <w:sz w:val="24"/>
          <w:szCs w:val="24"/>
          <w:lang w:val="fr-CA"/>
        </w:rPr>
        <w:t>L’athlète aura ainsi l’occasion, une dernière fois, de poser des questions sur ce point fort important avant d’entreprendre le processus de classification</w:t>
      </w:r>
      <w:r w:rsidR="00373D29" w:rsidRPr="00CB1763">
        <w:rPr>
          <w:rFonts w:cs="Arial"/>
          <w:sz w:val="24"/>
          <w:szCs w:val="24"/>
          <w:lang w:val="fr-CA"/>
        </w:rPr>
        <w:t>.</w:t>
      </w:r>
    </w:p>
    <w:p w:rsidR="00373D29" w:rsidRPr="00CB1763" w:rsidRDefault="00373D29" w:rsidP="00373D29">
      <w:pPr>
        <w:pStyle w:val="ListParagraph"/>
        <w:spacing w:before="240" w:after="240"/>
        <w:ind w:left="360"/>
        <w:rPr>
          <w:rFonts w:cs="Arial"/>
          <w:sz w:val="24"/>
          <w:szCs w:val="24"/>
          <w:lang w:val="fr-CA"/>
        </w:rPr>
      </w:pPr>
    </w:p>
    <w:p w:rsidR="00373D29" w:rsidRPr="00CB1763" w:rsidRDefault="009D7AC9" w:rsidP="00373D29">
      <w:pPr>
        <w:pStyle w:val="ListParagraph"/>
        <w:numPr>
          <w:ilvl w:val="0"/>
          <w:numId w:val="8"/>
        </w:numPr>
        <w:spacing w:before="240" w:after="240"/>
        <w:ind w:left="360"/>
        <w:rPr>
          <w:rFonts w:cs="Arial"/>
          <w:sz w:val="24"/>
          <w:szCs w:val="24"/>
          <w:lang w:val="fr-CA"/>
        </w:rPr>
      </w:pPr>
      <w:r w:rsidRPr="00CB1763">
        <w:rPr>
          <w:rFonts w:cs="Arial"/>
          <w:sz w:val="24"/>
          <w:szCs w:val="24"/>
          <w:lang w:val="fr-CA"/>
        </w:rPr>
        <w:t xml:space="preserve">La </w:t>
      </w:r>
      <w:r w:rsidR="00373D29" w:rsidRPr="00CB1763">
        <w:rPr>
          <w:rFonts w:cs="Arial"/>
          <w:sz w:val="24"/>
          <w:szCs w:val="24"/>
          <w:lang w:val="fr-CA"/>
        </w:rPr>
        <w:t xml:space="preserve">Section 6.4 </w:t>
      </w:r>
      <w:r w:rsidRPr="00CB1763">
        <w:rPr>
          <w:rFonts w:cs="Arial"/>
          <w:sz w:val="24"/>
          <w:szCs w:val="24"/>
          <w:lang w:val="fr-CA"/>
        </w:rPr>
        <w:t>de la Norme sur l’évaluation des athlètes</w:t>
      </w:r>
      <w:r w:rsidR="00373D29" w:rsidRPr="00CB1763">
        <w:rPr>
          <w:rFonts w:cs="Arial"/>
          <w:sz w:val="24"/>
          <w:szCs w:val="24"/>
          <w:lang w:val="fr-CA"/>
        </w:rPr>
        <w:t xml:space="preserve"> </w:t>
      </w:r>
      <w:r w:rsidR="002A20F5" w:rsidRPr="00CB1763">
        <w:rPr>
          <w:rFonts w:cs="Arial"/>
          <w:sz w:val="24"/>
          <w:szCs w:val="24"/>
          <w:lang w:val="fr-CA"/>
        </w:rPr>
        <w:t>devrait également être modifiée de manière à protéger les responsables de la classification et à les dégager de toute responsabilité advenant</w:t>
      </w:r>
      <w:r w:rsidR="00373D29" w:rsidRPr="00CB1763">
        <w:rPr>
          <w:rFonts w:cs="Arial"/>
          <w:sz w:val="24"/>
          <w:szCs w:val="24"/>
          <w:lang w:val="fr-CA"/>
        </w:rPr>
        <w:t xml:space="preserve"> </w:t>
      </w:r>
      <w:r w:rsidR="0056035A" w:rsidRPr="00CB1763">
        <w:rPr>
          <w:rFonts w:cs="Arial"/>
          <w:sz w:val="24"/>
          <w:szCs w:val="24"/>
          <w:lang w:val="fr-CA"/>
        </w:rPr>
        <w:t>qu’un athlète se blesse ou décède à la suite d’une réaction</w:t>
      </w:r>
      <w:r w:rsidR="00373D29" w:rsidRPr="00CB1763">
        <w:rPr>
          <w:rFonts w:cs="Arial"/>
          <w:sz w:val="24"/>
          <w:szCs w:val="24"/>
          <w:lang w:val="fr-CA"/>
        </w:rPr>
        <w:t xml:space="preserve"> </w:t>
      </w:r>
      <w:r w:rsidR="0056035A" w:rsidRPr="00CB1763">
        <w:rPr>
          <w:rFonts w:cs="Arial"/>
          <w:sz w:val="24"/>
          <w:szCs w:val="24"/>
          <w:lang w:val="fr-CA"/>
        </w:rPr>
        <w:t>à un médicament, ou autre,</w:t>
      </w:r>
      <w:r w:rsidR="00373D29" w:rsidRPr="00CB1763">
        <w:rPr>
          <w:rFonts w:cs="Arial"/>
          <w:sz w:val="24"/>
          <w:szCs w:val="24"/>
          <w:lang w:val="fr-CA"/>
        </w:rPr>
        <w:t xml:space="preserve"> </w:t>
      </w:r>
      <w:r w:rsidR="0056035A" w:rsidRPr="00CB1763">
        <w:rPr>
          <w:rFonts w:cs="Arial"/>
          <w:sz w:val="24"/>
          <w:szCs w:val="24"/>
          <w:lang w:val="fr-CA"/>
        </w:rPr>
        <w:t xml:space="preserve">en lien avec le processus de classification. </w:t>
      </w:r>
      <w:r w:rsidR="003B4982" w:rsidRPr="00CB1763">
        <w:rPr>
          <w:rFonts w:cs="Arial"/>
          <w:sz w:val="24"/>
          <w:szCs w:val="24"/>
          <w:lang w:val="fr-CA"/>
        </w:rPr>
        <w:t>À défaut de protéger adéquatement les responsables de la classification, peu d’entre eux finalement voudront sans doute offrir leurs services à la communauté paralympique</w:t>
      </w:r>
      <w:r w:rsidR="00373D29" w:rsidRPr="00CB1763">
        <w:rPr>
          <w:rFonts w:cs="Arial"/>
          <w:sz w:val="24"/>
          <w:szCs w:val="24"/>
          <w:lang w:val="fr-CA"/>
        </w:rPr>
        <w:t>.</w:t>
      </w:r>
    </w:p>
    <w:p w:rsidR="00373D29" w:rsidRPr="00CB1763" w:rsidRDefault="00373D29" w:rsidP="00373D29">
      <w:pPr>
        <w:pStyle w:val="ListParagraph"/>
        <w:rPr>
          <w:rFonts w:cs="Arial"/>
          <w:sz w:val="24"/>
          <w:szCs w:val="24"/>
          <w:lang w:val="fr-CA"/>
        </w:rPr>
      </w:pPr>
    </w:p>
    <w:p w:rsidR="00373D29" w:rsidRPr="00CB1763" w:rsidRDefault="00F6064A" w:rsidP="00373D29">
      <w:pPr>
        <w:pStyle w:val="ListParagraph"/>
        <w:numPr>
          <w:ilvl w:val="0"/>
          <w:numId w:val="8"/>
        </w:numPr>
        <w:spacing w:before="240" w:after="240"/>
        <w:ind w:left="360"/>
        <w:rPr>
          <w:rFonts w:cs="Arial"/>
          <w:sz w:val="24"/>
          <w:szCs w:val="24"/>
          <w:lang w:val="fr-CA"/>
        </w:rPr>
      </w:pPr>
      <w:r w:rsidRPr="00CB1763">
        <w:rPr>
          <w:rFonts w:cs="Arial"/>
          <w:sz w:val="24"/>
          <w:szCs w:val="24"/>
          <w:lang w:val="fr-CA"/>
        </w:rPr>
        <w:t>Une autre modification est requise à la S</w:t>
      </w:r>
      <w:r w:rsidR="00373D29" w:rsidRPr="00CB1763">
        <w:rPr>
          <w:rFonts w:cs="Arial"/>
          <w:sz w:val="24"/>
          <w:szCs w:val="24"/>
          <w:lang w:val="fr-CA"/>
        </w:rPr>
        <w:t xml:space="preserve">ection 6.4 </w:t>
      </w:r>
      <w:r w:rsidRPr="00CB1763">
        <w:rPr>
          <w:rFonts w:cs="Arial"/>
          <w:sz w:val="24"/>
          <w:szCs w:val="24"/>
          <w:lang w:val="fr-CA"/>
        </w:rPr>
        <w:t>de la Norme sur l’évaluation des athlè</w:t>
      </w:r>
      <w:r w:rsidR="00373D29" w:rsidRPr="00CB1763">
        <w:rPr>
          <w:rFonts w:cs="Arial"/>
          <w:sz w:val="24"/>
          <w:szCs w:val="24"/>
          <w:lang w:val="fr-CA"/>
        </w:rPr>
        <w:t>te</w:t>
      </w:r>
      <w:r w:rsidRPr="00CB1763">
        <w:rPr>
          <w:rFonts w:cs="Arial"/>
          <w:sz w:val="24"/>
          <w:szCs w:val="24"/>
          <w:lang w:val="fr-CA"/>
        </w:rPr>
        <w:t>s, soit l’autorisation de visionner la vidéo, dans le cadre du processus de classification, en cas de protêt ou d’appel.</w:t>
      </w:r>
      <w:r w:rsidR="00373D29" w:rsidRPr="00CB1763">
        <w:rPr>
          <w:rFonts w:cs="Arial"/>
          <w:sz w:val="24"/>
          <w:szCs w:val="24"/>
          <w:lang w:val="fr-CA"/>
        </w:rPr>
        <w:t xml:space="preserve"> </w:t>
      </w:r>
      <w:r w:rsidRPr="00CB1763">
        <w:rPr>
          <w:rFonts w:cs="Arial"/>
          <w:sz w:val="24"/>
          <w:szCs w:val="24"/>
          <w:lang w:val="fr-CA"/>
        </w:rPr>
        <w:t xml:space="preserve">Ainsi, le jury aura accès à la meilleure </w:t>
      </w:r>
      <w:r w:rsidR="009C03DF" w:rsidRPr="00CB1763">
        <w:rPr>
          <w:rFonts w:cs="Arial"/>
          <w:sz w:val="24"/>
          <w:szCs w:val="24"/>
          <w:lang w:val="fr-CA"/>
        </w:rPr>
        <w:t>preuve disponible avant de se prononcer</w:t>
      </w:r>
      <w:r w:rsidR="00FA6EC4" w:rsidRPr="00CB1763">
        <w:rPr>
          <w:rFonts w:cs="Arial"/>
          <w:sz w:val="24"/>
          <w:szCs w:val="24"/>
          <w:lang w:val="fr-CA"/>
        </w:rPr>
        <w:t xml:space="preserve"> et de rendre sa décision</w:t>
      </w:r>
      <w:r w:rsidR="00373D29" w:rsidRPr="00CB1763">
        <w:rPr>
          <w:rFonts w:cs="Arial"/>
          <w:sz w:val="24"/>
          <w:szCs w:val="24"/>
          <w:lang w:val="fr-CA"/>
        </w:rPr>
        <w:t>.</w:t>
      </w:r>
    </w:p>
    <w:p w:rsidR="00373D29" w:rsidRPr="00CB1763" w:rsidRDefault="00212D13" w:rsidP="00FA6BCC">
      <w:pPr>
        <w:pStyle w:val="Heading2"/>
        <w:numPr>
          <w:ilvl w:val="0"/>
          <w:numId w:val="11"/>
        </w:numPr>
        <w:rPr>
          <w:rFonts w:eastAsia="Times New Roman"/>
          <w:lang w:val="fr-CA"/>
        </w:rPr>
      </w:pPr>
      <w:bookmarkStart w:id="24" w:name="_Toc368318356"/>
      <w:r w:rsidRPr="00CB1763">
        <w:rPr>
          <w:rFonts w:eastAsia="Times New Roman"/>
          <w:lang w:val="fr-CA"/>
        </w:rPr>
        <w:t>Évaluation des athlètes</w:t>
      </w:r>
      <w:r w:rsidR="00373D29" w:rsidRPr="00CB1763">
        <w:rPr>
          <w:rFonts w:eastAsia="Times New Roman"/>
          <w:lang w:val="fr-CA"/>
        </w:rPr>
        <w:t xml:space="preserve"> (</w:t>
      </w:r>
      <w:r w:rsidR="00D00445" w:rsidRPr="00CB1763">
        <w:rPr>
          <w:rFonts w:eastAsia="Times New Roman"/>
          <w:lang w:val="fr-CA"/>
        </w:rPr>
        <w:t>Norme internationale sur l’évaluation des athlètes, S</w:t>
      </w:r>
      <w:r w:rsidR="00373D29" w:rsidRPr="00CB1763">
        <w:rPr>
          <w:rFonts w:eastAsia="Times New Roman"/>
          <w:lang w:val="fr-CA"/>
        </w:rPr>
        <w:t>ection 7)</w:t>
      </w:r>
      <w:bookmarkEnd w:id="24"/>
    </w:p>
    <w:p w:rsidR="00373D29" w:rsidRPr="00CB1763" w:rsidRDefault="00FA4579" w:rsidP="002B3107">
      <w:pPr>
        <w:pStyle w:val="ListParagraph"/>
        <w:numPr>
          <w:ilvl w:val="0"/>
          <w:numId w:val="8"/>
        </w:numPr>
        <w:spacing w:before="240" w:after="240"/>
        <w:ind w:left="360"/>
        <w:rPr>
          <w:rFonts w:cs="Arial"/>
          <w:sz w:val="24"/>
          <w:szCs w:val="24"/>
          <w:lang w:val="fr-CA"/>
        </w:rPr>
      </w:pPr>
      <w:r w:rsidRPr="00CB1763">
        <w:rPr>
          <w:rFonts w:cs="Arial"/>
          <w:sz w:val="24"/>
          <w:szCs w:val="24"/>
          <w:lang w:val="fr-CA"/>
        </w:rPr>
        <w:t>L’ACSA</w:t>
      </w:r>
      <w:r w:rsidR="00373D29" w:rsidRPr="00CB1763">
        <w:rPr>
          <w:rFonts w:cs="Arial"/>
          <w:sz w:val="24"/>
          <w:szCs w:val="24"/>
          <w:lang w:val="fr-CA"/>
        </w:rPr>
        <w:t xml:space="preserve"> </w:t>
      </w:r>
      <w:r w:rsidR="0099225E" w:rsidRPr="00CB1763">
        <w:rPr>
          <w:rFonts w:cs="Arial"/>
          <w:sz w:val="24"/>
          <w:szCs w:val="24"/>
          <w:lang w:val="fr-CA"/>
        </w:rPr>
        <w:t>demande que les mots « pour cette compétition »</w:t>
      </w:r>
      <w:r w:rsidR="00373D29" w:rsidRPr="00CB1763">
        <w:rPr>
          <w:rFonts w:cs="Arial"/>
          <w:sz w:val="24"/>
          <w:szCs w:val="24"/>
          <w:lang w:val="fr-CA"/>
        </w:rPr>
        <w:t xml:space="preserve"> </w:t>
      </w:r>
      <w:r w:rsidR="0099225E" w:rsidRPr="00CB1763">
        <w:rPr>
          <w:rFonts w:cs="Arial"/>
          <w:sz w:val="24"/>
          <w:szCs w:val="24"/>
          <w:lang w:val="fr-CA"/>
        </w:rPr>
        <w:t>soient ajoutés à l’article 7.6.2.</w:t>
      </w:r>
      <w:r w:rsidR="00373D29" w:rsidRPr="00CB1763">
        <w:rPr>
          <w:rFonts w:cs="Arial"/>
          <w:sz w:val="24"/>
          <w:szCs w:val="24"/>
          <w:lang w:val="fr-CA"/>
        </w:rPr>
        <w:t xml:space="preserve"> </w:t>
      </w:r>
      <w:r w:rsidR="0099225E" w:rsidRPr="00CB1763">
        <w:rPr>
          <w:rFonts w:cs="Arial"/>
          <w:sz w:val="24"/>
          <w:szCs w:val="24"/>
          <w:lang w:val="fr-CA"/>
        </w:rPr>
        <w:t xml:space="preserve">La formulation actuelle laisse entendre qu’un athlète pourrait être banni à vie, ce qui est injuste surtout si l’athlète souffre d’une déficience dégénérative ou est atteint </w:t>
      </w:r>
      <w:r w:rsidR="00C978DA" w:rsidRPr="00CB1763">
        <w:rPr>
          <w:rFonts w:cs="Arial"/>
          <w:sz w:val="24"/>
          <w:szCs w:val="24"/>
          <w:lang w:val="fr-CA"/>
        </w:rPr>
        <w:t>d’albinisme, par exemple.</w:t>
      </w:r>
      <w:r w:rsidR="00373D29" w:rsidRPr="00CB1763">
        <w:rPr>
          <w:rFonts w:cs="Arial"/>
          <w:sz w:val="24"/>
          <w:szCs w:val="24"/>
          <w:lang w:val="fr-CA"/>
        </w:rPr>
        <w:t xml:space="preserve"> </w:t>
      </w:r>
      <w:r w:rsidR="00D27E81" w:rsidRPr="00CB1763">
        <w:rPr>
          <w:rFonts w:cs="Arial"/>
          <w:sz w:val="24"/>
          <w:szCs w:val="24"/>
          <w:lang w:val="fr-CA"/>
        </w:rPr>
        <w:t xml:space="preserve">Dans un tel cas, l’athlète devrait être classé non admissible, et </w:t>
      </w:r>
      <w:r w:rsidR="006E7681" w:rsidRPr="00CB1763">
        <w:rPr>
          <w:rFonts w:cs="Arial"/>
          <w:sz w:val="24"/>
          <w:szCs w:val="24"/>
          <w:lang w:val="fr-CA"/>
        </w:rPr>
        <w:t xml:space="preserve">son statut confirmé, puis on devrait </w:t>
      </w:r>
      <w:r w:rsidR="00D27E81" w:rsidRPr="00CB1763">
        <w:rPr>
          <w:rFonts w:cs="Arial"/>
          <w:sz w:val="24"/>
          <w:szCs w:val="24"/>
          <w:lang w:val="fr-CA"/>
        </w:rPr>
        <w:t>l’inciter à obtenir les documents médicaux nécessaires à l’appui</w:t>
      </w:r>
      <w:r w:rsidR="00373D29" w:rsidRPr="00CB1763">
        <w:rPr>
          <w:rFonts w:cs="Arial"/>
          <w:sz w:val="24"/>
          <w:szCs w:val="24"/>
          <w:lang w:val="fr-CA"/>
        </w:rPr>
        <w:t xml:space="preserve"> </w:t>
      </w:r>
      <w:r w:rsidR="00D27E81" w:rsidRPr="00CB1763">
        <w:rPr>
          <w:rFonts w:cs="Arial"/>
          <w:sz w:val="24"/>
          <w:szCs w:val="24"/>
          <w:lang w:val="fr-CA"/>
        </w:rPr>
        <w:t>de tout changement noté au niveau de son état actuel</w:t>
      </w:r>
      <w:r w:rsidR="00373D29" w:rsidRPr="00CB1763">
        <w:rPr>
          <w:rFonts w:cs="Arial"/>
          <w:sz w:val="24"/>
          <w:szCs w:val="24"/>
          <w:lang w:val="fr-CA"/>
        </w:rPr>
        <w:t xml:space="preserve">, </w:t>
      </w:r>
      <w:r w:rsidR="00D27E81" w:rsidRPr="00CB1763">
        <w:rPr>
          <w:rFonts w:cs="Arial"/>
          <w:sz w:val="24"/>
          <w:szCs w:val="24"/>
          <w:lang w:val="fr-CA"/>
        </w:rPr>
        <w:t>le cas échéant.</w:t>
      </w:r>
      <w:r w:rsidR="00373D29" w:rsidRPr="00CB1763">
        <w:rPr>
          <w:rFonts w:cs="Arial"/>
          <w:sz w:val="24"/>
          <w:szCs w:val="24"/>
          <w:lang w:val="fr-CA"/>
        </w:rPr>
        <w:t xml:space="preserve"> </w:t>
      </w:r>
      <w:r w:rsidR="006E7681" w:rsidRPr="00CB1763">
        <w:rPr>
          <w:rFonts w:cs="Arial"/>
          <w:sz w:val="24"/>
          <w:szCs w:val="24"/>
          <w:lang w:val="fr-CA"/>
        </w:rPr>
        <w:t>Une fois obtenus les documents médicaux nécessaires, l’athlète pourrait de nouveau se présenter au processus de classification.</w:t>
      </w:r>
    </w:p>
    <w:p w:rsidR="00373D29" w:rsidRPr="00CB1763" w:rsidRDefault="00373D29" w:rsidP="002B3107">
      <w:pPr>
        <w:pStyle w:val="ListParagraph"/>
        <w:spacing w:before="240" w:after="240"/>
        <w:ind w:left="360" w:hanging="360"/>
        <w:rPr>
          <w:rFonts w:cs="Arial"/>
          <w:sz w:val="24"/>
          <w:szCs w:val="24"/>
          <w:lang w:val="fr-CA"/>
        </w:rPr>
      </w:pPr>
    </w:p>
    <w:p w:rsidR="00373D29" w:rsidRPr="00CB1763" w:rsidRDefault="00FA4579" w:rsidP="002B3107">
      <w:pPr>
        <w:pStyle w:val="ListParagraph"/>
        <w:numPr>
          <w:ilvl w:val="0"/>
          <w:numId w:val="8"/>
        </w:numPr>
        <w:spacing w:before="240" w:after="240"/>
        <w:ind w:left="360"/>
        <w:rPr>
          <w:rFonts w:cs="Arial"/>
          <w:sz w:val="24"/>
          <w:szCs w:val="24"/>
          <w:lang w:val="fr-CA"/>
        </w:rPr>
      </w:pPr>
      <w:r w:rsidRPr="00CB1763">
        <w:rPr>
          <w:rFonts w:cs="Arial"/>
          <w:sz w:val="24"/>
          <w:szCs w:val="24"/>
          <w:lang w:val="fr-CA"/>
        </w:rPr>
        <w:t>L’ACSA</w:t>
      </w:r>
      <w:r w:rsidR="00373D29" w:rsidRPr="00CB1763">
        <w:rPr>
          <w:rFonts w:cs="Arial"/>
          <w:sz w:val="24"/>
          <w:szCs w:val="24"/>
          <w:lang w:val="fr-CA"/>
        </w:rPr>
        <w:t xml:space="preserve"> </w:t>
      </w:r>
      <w:r w:rsidR="006E7681" w:rsidRPr="00CB1763">
        <w:rPr>
          <w:rFonts w:cs="Arial"/>
          <w:sz w:val="24"/>
          <w:szCs w:val="24"/>
          <w:lang w:val="fr-CA"/>
        </w:rPr>
        <w:t>est d’avis que toutes les références</w:t>
      </w:r>
      <w:r w:rsidR="00373D29" w:rsidRPr="00CB1763">
        <w:rPr>
          <w:rFonts w:cs="Arial"/>
          <w:sz w:val="24"/>
          <w:szCs w:val="24"/>
          <w:lang w:val="fr-CA"/>
        </w:rPr>
        <w:t xml:space="preserve"> </w:t>
      </w:r>
      <w:r w:rsidR="003E6E95" w:rsidRPr="00CB1763">
        <w:rPr>
          <w:rFonts w:cs="Arial"/>
          <w:sz w:val="24"/>
          <w:szCs w:val="24"/>
          <w:lang w:val="fr-CA"/>
        </w:rPr>
        <w:t>aux épreuves préalables</w:t>
      </w:r>
      <w:r w:rsidR="00373D29" w:rsidRPr="00CB1763">
        <w:rPr>
          <w:rFonts w:cs="Arial"/>
          <w:sz w:val="24"/>
          <w:szCs w:val="24"/>
          <w:lang w:val="fr-CA"/>
        </w:rPr>
        <w:t xml:space="preserve"> </w:t>
      </w:r>
      <w:r w:rsidR="003E6E95" w:rsidRPr="00CB1763">
        <w:rPr>
          <w:rFonts w:cs="Arial"/>
          <w:sz w:val="24"/>
          <w:szCs w:val="24"/>
          <w:lang w:val="fr-CA"/>
        </w:rPr>
        <w:t>à la S</w:t>
      </w:r>
      <w:r w:rsidR="00373D29" w:rsidRPr="00CB1763">
        <w:rPr>
          <w:rFonts w:cs="Arial"/>
          <w:sz w:val="24"/>
          <w:szCs w:val="24"/>
          <w:lang w:val="fr-CA"/>
        </w:rPr>
        <w:t xml:space="preserve">ection 7 </w:t>
      </w:r>
      <w:r w:rsidR="003E6E95" w:rsidRPr="00CB1763">
        <w:rPr>
          <w:rFonts w:cs="Arial"/>
          <w:sz w:val="24"/>
          <w:szCs w:val="24"/>
          <w:lang w:val="fr-CA"/>
        </w:rPr>
        <w:t>devraient plutôt s’appliquer aux épreuves finales.</w:t>
      </w:r>
      <w:r w:rsidR="00373D29" w:rsidRPr="00CB1763">
        <w:rPr>
          <w:rFonts w:cs="Arial"/>
          <w:sz w:val="24"/>
          <w:szCs w:val="24"/>
          <w:lang w:val="fr-CA"/>
        </w:rPr>
        <w:t xml:space="preserve"> </w:t>
      </w:r>
      <w:r w:rsidR="003E6E95" w:rsidRPr="00CB1763">
        <w:rPr>
          <w:rFonts w:cs="Arial"/>
          <w:sz w:val="24"/>
          <w:szCs w:val="24"/>
          <w:lang w:val="fr-CA"/>
        </w:rPr>
        <w:t>En effet, les athlètes ont tendance à fournir un effort plus marqué durant une épreuve finale que lors des épreuv</w:t>
      </w:r>
      <w:r w:rsidR="00E965F2" w:rsidRPr="00CB1763">
        <w:rPr>
          <w:rFonts w:cs="Arial"/>
          <w:sz w:val="24"/>
          <w:szCs w:val="24"/>
          <w:lang w:val="fr-CA"/>
        </w:rPr>
        <w:t>es éliminatoires</w:t>
      </w:r>
      <w:r w:rsidR="003E6E95" w:rsidRPr="00CB1763">
        <w:rPr>
          <w:rFonts w:cs="Arial"/>
          <w:sz w:val="24"/>
          <w:szCs w:val="24"/>
          <w:lang w:val="fr-CA"/>
        </w:rPr>
        <w:t>.</w:t>
      </w:r>
      <w:r w:rsidR="00373D29" w:rsidRPr="00CB1763">
        <w:rPr>
          <w:rFonts w:cs="Arial"/>
          <w:sz w:val="24"/>
          <w:szCs w:val="24"/>
          <w:lang w:val="fr-CA"/>
        </w:rPr>
        <w:t xml:space="preserve"> </w:t>
      </w:r>
      <w:r w:rsidR="00E965F2" w:rsidRPr="00CB1763">
        <w:rPr>
          <w:rFonts w:cs="Arial"/>
          <w:sz w:val="24"/>
          <w:szCs w:val="24"/>
          <w:lang w:val="fr-CA"/>
        </w:rPr>
        <w:t>La même chose devrait s’appliquer à la S</w:t>
      </w:r>
      <w:r w:rsidR="00373D29" w:rsidRPr="00CB1763">
        <w:rPr>
          <w:rFonts w:cs="Arial"/>
          <w:sz w:val="24"/>
          <w:szCs w:val="24"/>
          <w:lang w:val="fr-CA"/>
        </w:rPr>
        <w:t xml:space="preserve">ection 9 </w:t>
      </w:r>
      <w:r w:rsidR="00E965F2" w:rsidRPr="00CB1763">
        <w:rPr>
          <w:rFonts w:cs="Arial"/>
          <w:sz w:val="24"/>
          <w:szCs w:val="24"/>
          <w:lang w:val="fr-CA"/>
        </w:rPr>
        <w:t>intitulée Épreuves éliminatoires.</w:t>
      </w:r>
    </w:p>
    <w:p w:rsidR="002B3107" w:rsidRPr="00CB1763" w:rsidRDefault="00D00445" w:rsidP="002B3107">
      <w:pPr>
        <w:pStyle w:val="Heading1"/>
        <w:numPr>
          <w:ilvl w:val="0"/>
          <w:numId w:val="10"/>
        </w:numPr>
        <w:spacing w:before="240" w:after="240"/>
        <w:ind w:left="360" w:hanging="360"/>
        <w:rPr>
          <w:lang w:val="fr-CA"/>
        </w:rPr>
      </w:pPr>
      <w:bookmarkStart w:id="25" w:name="_Toc368318357"/>
      <w:r w:rsidRPr="00CB1763">
        <w:rPr>
          <w:lang w:val="fr-CA"/>
        </w:rPr>
        <w:lastRenderedPageBreak/>
        <w:t>Norme i</w:t>
      </w:r>
      <w:r w:rsidR="00FA6BCC" w:rsidRPr="00CB1763">
        <w:rPr>
          <w:lang w:val="fr-CA"/>
        </w:rPr>
        <w:t>nternational</w:t>
      </w:r>
      <w:r w:rsidRPr="00CB1763">
        <w:rPr>
          <w:lang w:val="fr-CA"/>
        </w:rPr>
        <w:t>e</w:t>
      </w:r>
      <w:r w:rsidR="00FA6BCC" w:rsidRPr="00CB1763">
        <w:rPr>
          <w:lang w:val="fr-CA"/>
        </w:rPr>
        <w:t xml:space="preserve"> </w:t>
      </w:r>
      <w:r w:rsidR="002B3107" w:rsidRPr="00CB1763">
        <w:rPr>
          <w:lang w:val="fr-CA"/>
        </w:rPr>
        <w:t xml:space="preserve">: </w:t>
      </w:r>
      <w:r w:rsidRPr="00CB1763">
        <w:rPr>
          <w:lang w:val="fr-CA"/>
        </w:rPr>
        <w:t>protêts et appels</w:t>
      </w:r>
      <w:bookmarkEnd w:id="25"/>
    </w:p>
    <w:p w:rsidR="002B3107" w:rsidRPr="00CB1763" w:rsidRDefault="002B3107" w:rsidP="002B3107">
      <w:pPr>
        <w:pStyle w:val="Heading2"/>
        <w:numPr>
          <w:ilvl w:val="0"/>
          <w:numId w:val="11"/>
        </w:numPr>
        <w:rPr>
          <w:lang w:val="fr-CA"/>
        </w:rPr>
      </w:pPr>
      <w:bookmarkStart w:id="26" w:name="_Toc368318358"/>
      <w:r w:rsidRPr="00CB1763">
        <w:rPr>
          <w:lang w:val="fr-CA"/>
        </w:rPr>
        <w:t>Comment</w:t>
      </w:r>
      <w:r w:rsidR="00D00445" w:rsidRPr="00CB1763">
        <w:rPr>
          <w:lang w:val="fr-CA"/>
        </w:rPr>
        <w:t>aire</w:t>
      </w:r>
      <w:r w:rsidRPr="00CB1763">
        <w:rPr>
          <w:lang w:val="fr-CA"/>
        </w:rPr>
        <w:t>s</w:t>
      </w:r>
      <w:bookmarkEnd w:id="26"/>
      <w:r w:rsidR="00D00445" w:rsidRPr="00CB1763">
        <w:rPr>
          <w:lang w:val="fr-CA"/>
        </w:rPr>
        <w:t xml:space="preserve"> généraux</w:t>
      </w:r>
    </w:p>
    <w:p w:rsidR="002B3107" w:rsidRPr="00CB1763" w:rsidRDefault="002B3107" w:rsidP="002B3107">
      <w:pPr>
        <w:pStyle w:val="ListParagraph"/>
        <w:rPr>
          <w:rFonts w:cs="Arial"/>
          <w:sz w:val="24"/>
          <w:szCs w:val="24"/>
          <w:lang w:val="fr-CA"/>
        </w:rPr>
      </w:pPr>
    </w:p>
    <w:p w:rsidR="002B3107" w:rsidRPr="00CB1763" w:rsidRDefault="00FA4579" w:rsidP="002B3107">
      <w:pPr>
        <w:pStyle w:val="ListParagraph"/>
        <w:numPr>
          <w:ilvl w:val="0"/>
          <w:numId w:val="8"/>
        </w:numPr>
        <w:ind w:left="360"/>
        <w:rPr>
          <w:rFonts w:cs="Arial"/>
          <w:sz w:val="24"/>
          <w:szCs w:val="24"/>
          <w:lang w:val="fr-CA"/>
        </w:rPr>
      </w:pPr>
      <w:r w:rsidRPr="00CB1763">
        <w:rPr>
          <w:rFonts w:cs="Arial"/>
          <w:sz w:val="24"/>
          <w:szCs w:val="24"/>
          <w:lang w:val="fr-CA"/>
        </w:rPr>
        <w:t>L’ACSA</w:t>
      </w:r>
      <w:r w:rsidR="002B3107" w:rsidRPr="00CB1763">
        <w:rPr>
          <w:rFonts w:cs="Arial"/>
          <w:sz w:val="24"/>
          <w:szCs w:val="24"/>
          <w:lang w:val="fr-CA"/>
        </w:rPr>
        <w:t xml:space="preserve"> </w:t>
      </w:r>
      <w:r w:rsidR="00857001" w:rsidRPr="00CB1763">
        <w:rPr>
          <w:rFonts w:cs="Arial"/>
          <w:sz w:val="24"/>
          <w:szCs w:val="24"/>
          <w:lang w:val="fr-CA"/>
        </w:rPr>
        <w:t xml:space="preserve">fait de nouveau la même présentation que celle au titre de la </w:t>
      </w:r>
      <w:r w:rsidR="002B3107" w:rsidRPr="00CB1763">
        <w:rPr>
          <w:rFonts w:cs="Arial"/>
          <w:sz w:val="24"/>
          <w:szCs w:val="24"/>
          <w:lang w:val="fr-CA"/>
        </w:rPr>
        <w:t xml:space="preserve">Section 8 </w:t>
      </w:r>
      <w:r w:rsidR="00857001" w:rsidRPr="00CB1763">
        <w:rPr>
          <w:rFonts w:cs="Arial"/>
          <w:sz w:val="24"/>
          <w:szCs w:val="24"/>
          <w:lang w:val="fr-CA"/>
        </w:rPr>
        <w:t>du</w:t>
      </w:r>
      <w:r w:rsidR="002B3107" w:rsidRPr="00CB1763">
        <w:rPr>
          <w:rFonts w:cs="Arial"/>
          <w:sz w:val="24"/>
          <w:szCs w:val="24"/>
          <w:lang w:val="fr-CA"/>
        </w:rPr>
        <w:t xml:space="preserve"> Code, </w:t>
      </w:r>
      <w:r w:rsidR="00857001" w:rsidRPr="00CB1763">
        <w:rPr>
          <w:rFonts w:cs="Arial"/>
          <w:sz w:val="24"/>
          <w:szCs w:val="24"/>
          <w:lang w:val="fr-CA"/>
        </w:rPr>
        <w:t>ci-dessus.</w:t>
      </w:r>
      <w:r w:rsidR="002B3107" w:rsidRPr="00CB1763">
        <w:rPr>
          <w:rFonts w:cs="Arial"/>
          <w:sz w:val="24"/>
          <w:szCs w:val="24"/>
          <w:lang w:val="fr-CA"/>
        </w:rPr>
        <w:t xml:space="preserve"> </w:t>
      </w:r>
      <w:r w:rsidR="00857001" w:rsidRPr="00CB1763">
        <w:rPr>
          <w:rFonts w:cs="Arial"/>
          <w:sz w:val="24"/>
          <w:szCs w:val="24"/>
          <w:lang w:val="fr-CA"/>
        </w:rPr>
        <w:t>De surcroît,</w:t>
      </w:r>
      <w:r w:rsidR="002B3107" w:rsidRPr="00CB1763">
        <w:rPr>
          <w:rFonts w:cs="Arial"/>
          <w:sz w:val="24"/>
          <w:szCs w:val="24"/>
          <w:lang w:val="fr-CA"/>
        </w:rPr>
        <w:t xml:space="preserve"> </w:t>
      </w:r>
      <w:r w:rsidR="008A4959" w:rsidRPr="00CB1763">
        <w:rPr>
          <w:rFonts w:cs="Arial"/>
          <w:sz w:val="24"/>
          <w:szCs w:val="24"/>
          <w:lang w:val="fr-CA"/>
        </w:rPr>
        <w:t xml:space="preserve">l’Association </w:t>
      </w:r>
      <w:r w:rsidR="003C73E9" w:rsidRPr="00CB1763">
        <w:rPr>
          <w:rFonts w:cs="Arial"/>
          <w:sz w:val="24"/>
          <w:szCs w:val="24"/>
          <w:lang w:val="fr-CA"/>
        </w:rPr>
        <w:t>est d’avis que la façon de présenter cette norme peut être améliorée en déplaçant la section sur les protêts dans des circonstances exceptionnelles</w:t>
      </w:r>
      <w:r w:rsidR="002B3107" w:rsidRPr="00CB1763">
        <w:rPr>
          <w:rFonts w:cs="Arial"/>
          <w:sz w:val="24"/>
          <w:szCs w:val="24"/>
          <w:lang w:val="fr-CA"/>
        </w:rPr>
        <w:t xml:space="preserve"> </w:t>
      </w:r>
      <w:r w:rsidR="003C73E9" w:rsidRPr="00CB1763">
        <w:rPr>
          <w:rFonts w:cs="Arial"/>
          <w:sz w:val="24"/>
          <w:szCs w:val="24"/>
          <w:lang w:val="fr-CA"/>
        </w:rPr>
        <w:t>de la</w:t>
      </w:r>
      <w:r w:rsidR="000F3239">
        <w:rPr>
          <w:rFonts w:cs="Arial"/>
          <w:sz w:val="24"/>
          <w:szCs w:val="24"/>
          <w:lang w:val="fr-CA"/>
        </w:rPr>
        <w:t xml:space="preserve"> S</w:t>
      </w:r>
      <w:r w:rsidR="002B3107" w:rsidRPr="00CB1763">
        <w:rPr>
          <w:rFonts w:cs="Arial"/>
          <w:sz w:val="24"/>
          <w:szCs w:val="24"/>
          <w:lang w:val="fr-CA"/>
        </w:rPr>
        <w:t xml:space="preserve">ection 19 </w:t>
      </w:r>
      <w:r w:rsidR="003C73E9" w:rsidRPr="00CB1763">
        <w:rPr>
          <w:rFonts w:cs="Arial"/>
          <w:sz w:val="24"/>
          <w:szCs w:val="24"/>
          <w:lang w:val="fr-CA"/>
        </w:rPr>
        <w:t>à la fin de la</w:t>
      </w:r>
      <w:r w:rsidR="000F3239">
        <w:rPr>
          <w:rFonts w:cs="Arial"/>
          <w:sz w:val="24"/>
          <w:szCs w:val="24"/>
          <w:lang w:val="fr-CA"/>
        </w:rPr>
        <w:t xml:space="preserve"> S</w:t>
      </w:r>
      <w:r w:rsidR="002B3107" w:rsidRPr="00CB1763">
        <w:rPr>
          <w:rFonts w:cs="Arial"/>
          <w:sz w:val="24"/>
          <w:szCs w:val="24"/>
          <w:lang w:val="fr-CA"/>
        </w:rPr>
        <w:t xml:space="preserve">ection 5 </w:t>
      </w:r>
      <w:r w:rsidR="00057B2F">
        <w:rPr>
          <w:rFonts w:cs="Arial"/>
          <w:sz w:val="24"/>
          <w:szCs w:val="24"/>
          <w:lang w:val="fr-CA"/>
        </w:rPr>
        <w:t>de la n</w:t>
      </w:r>
      <w:r w:rsidR="003C73E9" w:rsidRPr="00CB1763">
        <w:rPr>
          <w:rFonts w:cs="Arial"/>
          <w:sz w:val="24"/>
          <w:szCs w:val="24"/>
          <w:lang w:val="fr-CA"/>
        </w:rPr>
        <w:t>orme.</w:t>
      </w:r>
    </w:p>
    <w:p w:rsidR="002B3107" w:rsidRPr="00CB1763" w:rsidRDefault="00EF190F" w:rsidP="002B3107">
      <w:pPr>
        <w:pStyle w:val="Heading2"/>
        <w:numPr>
          <w:ilvl w:val="0"/>
          <w:numId w:val="11"/>
        </w:numPr>
        <w:rPr>
          <w:lang w:val="fr-CA"/>
        </w:rPr>
      </w:pPr>
      <w:bookmarkStart w:id="27" w:name="_Toc368318359"/>
      <w:r w:rsidRPr="00CB1763">
        <w:rPr>
          <w:lang w:val="fr-CA"/>
        </w:rPr>
        <w:t>Protê</w:t>
      </w:r>
      <w:r w:rsidR="002B3107" w:rsidRPr="00CB1763">
        <w:rPr>
          <w:lang w:val="fr-CA"/>
        </w:rPr>
        <w:t>t (</w:t>
      </w:r>
      <w:r w:rsidRPr="00CB1763">
        <w:rPr>
          <w:lang w:val="fr-CA"/>
        </w:rPr>
        <w:t>Norme i</w:t>
      </w:r>
      <w:r w:rsidR="002B3107" w:rsidRPr="00CB1763">
        <w:rPr>
          <w:lang w:val="fr-CA"/>
        </w:rPr>
        <w:t>nternational</w:t>
      </w:r>
      <w:r w:rsidRPr="00CB1763">
        <w:rPr>
          <w:lang w:val="fr-CA"/>
        </w:rPr>
        <w:t xml:space="preserve">e </w:t>
      </w:r>
      <w:r w:rsidR="002B3107" w:rsidRPr="00CB1763">
        <w:rPr>
          <w:lang w:val="fr-CA"/>
        </w:rPr>
        <w:t xml:space="preserve">: </w:t>
      </w:r>
      <w:r w:rsidRPr="00CB1763">
        <w:rPr>
          <w:lang w:val="fr-CA"/>
        </w:rPr>
        <w:t>protêts et appe</w:t>
      </w:r>
      <w:r w:rsidR="002B3107" w:rsidRPr="00CB1763">
        <w:rPr>
          <w:lang w:val="fr-CA"/>
        </w:rPr>
        <w:t>ls</w:t>
      </w:r>
      <w:r w:rsidRPr="00CB1763">
        <w:rPr>
          <w:lang w:val="fr-CA"/>
        </w:rPr>
        <w:t>,</w:t>
      </w:r>
      <w:r w:rsidR="002B3107" w:rsidRPr="00CB1763">
        <w:rPr>
          <w:lang w:val="fr-CA"/>
        </w:rPr>
        <w:t xml:space="preserve"> Section 1)</w:t>
      </w:r>
      <w:bookmarkEnd w:id="27"/>
    </w:p>
    <w:p w:rsidR="002B3107" w:rsidRPr="00CB1763" w:rsidRDefault="002B3107" w:rsidP="002B3107">
      <w:pPr>
        <w:pStyle w:val="ListParagraph"/>
        <w:rPr>
          <w:rFonts w:cs="Arial"/>
          <w:sz w:val="24"/>
          <w:szCs w:val="24"/>
          <w:lang w:val="fr-CA"/>
        </w:rPr>
      </w:pPr>
    </w:p>
    <w:p w:rsidR="002B3107" w:rsidRPr="00CB1763" w:rsidRDefault="00FA4579" w:rsidP="002B3107">
      <w:pPr>
        <w:pStyle w:val="ListParagraph"/>
        <w:numPr>
          <w:ilvl w:val="0"/>
          <w:numId w:val="8"/>
        </w:numPr>
        <w:ind w:left="360"/>
        <w:rPr>
          <w:rFonts w:cs="Arial"/>
          <w:sz w:val="24"/>
          <w:szCs w:val="24"/>
          <w:lang w:val="fr-CA"/>
        </w:rPr>
      </w:pPr>
      <w:r w:rsidRPr="00CB1763">
        <w:rPr>
          <w:rFonts w:cs="Arial"/>
          <w:sz w:val="24"/>
          <w:szCs w:val="24"/>
          <w:lang w:val="fr-CA"/>
        </w:rPr>
        <w:t>L’ACSA</w:t>
      </w:r>
      <w:r w:rsidR="002B3107" w:rsidRPr="00CB1763">
        <w:rPr>
          <w:rFonts w:cs="Arial"/>
          <w:sz w:val="24"/>
          <w:szCs w:val="24"/>
          <w:lang w:val="fr-CA"/>
        </w:rPr>
        <w:t xml:space="preserve"> </w:t>
      </w:r>
      <w:r w:rsidR="007B2876" w:rsidRPr="00CB1763">
        <w:rPr>
          <w:rFonts w:cs="Arial"/>
          <w:sz w:val="24"/>
          <w:szCs w:val="24"/>
          <w:lang w:val="fr-CA"/>
        </w:rPr>
        <w:t>approuve de façon générale la définition du terme « protêt ».</w:t>
      </w:r>
      <w:r w:rsidR="002B3107" w:rsidRPr="00CB1763">
        <w:rPr>
          <w:rFonts w:cs="Arial"/>
          <w:sz w:val="24"/>
          <w:szCs w:val="24"/>
          <w:lang w:val="fr-CA"/>
        </w:rPr>
        <w:t xml:space="preserve"> </w:t>
      </w:r>
      <w:r w:rsidR="007B2876" w:rsidRPr="00CB1763">
        <w:rPr>
          <w:rFonts w:cs="Arial"/>
          <w:sz w:val="24"/>
          <w:szCs w:val="24"/>
          <w:lang w:val="fr-CA"/>
        </w:rPr>
        <w:t>Cependant</w:t>
      </w:r>
      <w:r w:rsidR="002B3107" w:rsidRPr="00CB1763">
        <w:rPr>
          <w:rFonts w:cs="Arial"/>
          <w:sz w:val="24"/>
          <w:szCs w:val="24"/>
          <w:lang w:val="fr-CA"/>
        </w:rPr>
        <w:t xml:space="preserve">, </w:t>
      </w:r>
      <w:r w:rsidR="00B30114" w:rsidRPr="00CB1763">
        <w:rPr>
          <w:rFonts w:cs="Arial"/>
          <w:sz w:val="24"/>
          <w:szCs w:val="24"/>
          <w:lang w:val="fr-CA"/>
        </w:rPr>
        <w:t>les derniers mots de la définition laissent entendre que la décision prise à la suite d’un protêt est finale. Ce n’est pas toujours le cas. L’athlète a un droit d’appel, comme il se doit, si le processus de classification</w:t>
      </w:r>
      <w:r w:rsidR="00F7388F" w:rsidRPr="00CB1763">
        <w:rPr>
          <w:rFonts w:cs="Arial"/>
          <w:sz w:val="24"/>
          <w:szCs w:val="24"/>
          <w:lang w:val="fr-CA"/>
        </w:rPr>
        <w:t>, tel que défini ailleurs dans le</w:t>
      </w:r>
      <w:r w:rsidR="002B3107" w:rsidRPr="00CB1763">
        <w:rPr>
          <w:rFonts w:cs="Arial"/>
          <w:sz w:val="24"/>
          <w:szCs w:val="24"/>
          <w:lang w:val="fr-CA"/>
        </w:rPr>
        <w:t xml:space="preserve"> Code </w:t>
      </w:r>
      <w:r w:rsidR="00F7388F" w:rsidRPr="00CB1763">
        <w:rPr>
          <w:rFonts w:cs="Arial"/>
          <w:sz w:val="24"/>
          <w:szCs w:val="24"/>
          <w:lang w:val="fr-CA"/>
        </w:rPr>
        <w:t>et dans les normes complémentaires, n’est pas suivi correctement ou si une erreur</w:t>
      </w:r>
      <w:r w:rsidR="002B3107" w:rsidRPr="00CB1763">
        <w:rPr>
          <w:rFonts w:cs="Arial"/>
          <w:sz w:val="24"/>
          <w:szCs w:val="24"/>
          <w:lang w:val="fr-CA"/>
        </w:rPr>
        <w:t xml:space="preserve"> </w:t>
      </w:r>
      <w:r w:rsidR="00F7388F" w:rsidRPr="00CB1763">
        <w:rPr>
          <w:rFonts w:cs="Arial"/>
          <w:sz w:val="24"/>
          <w:szCs w:val="24"/>
          <w:lang w:val="fr-CA"/>
        </w:rPr>
        <w:t>de procédure est relevée.</w:t>
      </w:r>
      <w:r w:rsidR="002B3107" w:rsidRPr="00CB1763">
        <w:rPr>
          <w:rFonts w:cs="Arial"/>
          <w:sz w:val="24"/>
          <w:szCs w:val="24"/>
          <w:lang w:val="fr-CA"/>
        </w:rPr>
        <w:t xml:space="preserve"> </w:t>
      </w:r>
      <w:r w:rsidR="00F7388F" w:rsidRPr="00CB1763">
        <w:rPr>
          <w:rFonts w:cs="Arial"/>
          <w:sz w:val="24"/>
          <w:szCs w:val="24"/>
          <w:lang w:val="fr-CA"/>
        </w:rPr>
        <w:t>Il serait donc préférable de dire « et jugé tel quel ».</w:t>
      </w:r>
      <w:r w:rsidR="002B3107" w:rsidRPr="00CB1763">
        <w:rPr>
          <w:rFonts w:cs="Arial"/>
          <w:sz w:val="24"/>
          <w:szCs w:val="24"/>
          <w:lang w:val="fr-CA"/>
        </w:rPr>
        <w:t xml:space="preserve"> </w:t>
      </w:r>
      <w:r w:rsidR="00F7388F" w:rsidRPr="00CB1763">
        <w:rPr>
          <w:rFonts w:cs="Arial"/>
          <w:sz w:val="24"/>
          <w:szCs w:val="24"/>
          <w:lang w:val="fr-CA"/>
        </w:rPr>
        <w:t>De cette façon, le jury chargé du protêt devra prendre une décision fondée sur</w:t>
      </w:r>
      <w:r w:rsidR="002B3107" w:rsidRPr="00CB1763">
        <w:rPr>
          <w:rFonts w:cs="Arial"/>
          <w:sz w:val="24"/>
          <w:szCs w:val="24"/>
          <w:lang w:val="fr-CA"/>
        </w:rPr>
        <w:t xml:space="preserve"> </w:t>
      </w:r>
      <w:r w:rsidR="00F7388F" w:rsidRPr="00CB1763">
        <w:rPr>
          <w:rFonts w:cs="Arial"/>
          <w:sz w:val="24"/>
          <w:szCs w:val="24"/>
          <w:lang w:val="fr-CA"/>
        </w:rPr>
        <w:t>la validité du protêt</w:t>
      </w:r>
      <w:r w:rsidR="00923256" w:rsidRPr="00CB1763">
        <w:rPr>
          <w:rFonts w:cs="Arial"/>
          <w:sz w:val="24"/>
          <w:szCs w:val="24"/>
          <w:lang w:val="fr-CA"/>
        </w:rPr>
        <w:t>, et l’athlè</w:t>
      </w:r>
      <w:r w:rsidR="002B3107" w:rsidRPr="00CB1763">
        <w:rPr>
          <w:rFonts w:cs="Arial"/>
          <w:sz w:val="24"/>
          <w:szCs w:val="24"/>
          <w:lang w:val="fr-CA"/>
        </w:rPr>
        <w:t xml:space="preserve">te </w:t>
      </w:r>
      <w:r w:rsidR="009C104B" w:rsidRPr="00CB1763">
        <w:rPr>
          <w:rFonts w:cs="Arial"/>
          <w:sz w:val="24"/>
          <w:szCs w:val="24"/>
          <w:lang w:val="fr-CA"/>
        </w:rPr>
        <w:t>saura qu’il a un droit d’appel</w:t>
      </w:r>
      <w:r w:rsidR="002B3107" w:rsidRPr="00CB1763">
        <w:rPr>
          <w:rFonts w:cs="Arial"/>
          <w:sz w:val="24"/>
          <w:szCs w:val="24"/>
          <w:lang w:val="fr-CA"/>
        </w:rPr>
        <w:t xml:space="preserve"> </w:t>
      </w:r>
      <w:r w:rsidR="0052627B" w:rsidRPr="00CB1763">
        <w:rPr>
          <w:rFonts w:cs="Arial"/>
          <w:sz w:val="24"/>
          <w:szCs w:val="24"/>
          <w:lang w:val="fr-CA"/>
        </w:rPr>
        <w:t>dans certaines circonstances</w:t>
      </w:r>
      <w:r w:rsidR="002B3107" w:rsidRPr="00CB1763">
        <w:rPr>
          <w:rFonts w:cs="Arial"/>
          <w:sz w:val="24"/>
          <w:szCs w:val="24"/>
          <w:lang w:val="fr-CA"/>
        </w:rPr>
        <w:t>.</w:t>
      </w:r>
    </w:p>
    <w:p w:rsidR="002B3107" w:rsidRPr="00CB1763" w:rsidRDefault="008F3A1B" w:rsidP="002B3107">
      <w:pPr>
        <w:pStyle w:val="Heading2"/>
        <w:numPr>
          <w:ilvl w:val="0"/>
          <w:numId w:val="11"/>
        </w:numPr>
        <w:rPr>
          <w:lang w:val="fr-CA"/>
        </w:rPr>
      </w:pPr>
      <w:bookmarkStart w:id="28" w:name="_Toc368318360"/>
      <w:r w:rsidRPr="00CB1763">
        <w:rPr>
          <w:lang w:val="fr-CA"/>
        </w:rPr>
        <w:t>Princip</w:t>
      </w:r>
      <w:r w:rsidR="002B3107" w:rsidRPr="00CB1763">
        <w:rPr>
          <w:lang w:val="fr-CA"/>
        </w:rPr>
        <w:t>es</w:t>
      </w:r>
      <w:r w:rsidRPr="00CB1763">
        <w:rPr>
          <w:lang w:val="fr-CA"/>
        </w:rPr>
        <w:t xml:space="preserve"> généraux concernant les protêts</w:t>
      </w:r>
      <w:r w:rsidR="002B3107" w:rsidRPr="00CB1763">
        <w:rPr>
          <w:lang w:val="fr-CA"/>
        </w:rPr>
        <w:t xml:space="preserve"> (</w:t>
      </w:r>
      <w:r w:rsidR="00A84E92" w:rsidRPr="00CB1763">
        <w:rPr>
          <w:lang w:val="fr-CA"/>
        </w:rPr>
        <w:t>Norme i</w:t>
      </w:r>
      <w:r w:rsidR="002B3107" w:rsidRPr="00CB1763">
        <w:rPr>
          <w:lang w:val="fr-CA"/>
        </w:rPr>
        <w:t>nternational</w:t>
      </w:r>
      <w:r w:rsidR="00A84E92" w:rsidRPr="00CB1763">
        <w:rPr>
          <w:lang w:val="fr-CA"/>
        </w:rPr>
        <w:t>e : protêts et appe</w:t>
      </w:r>
      <w:r w:rsidR="002B3107" w:rsidRPr="00CB1763">
        <w:rPr>
          <w:lang w:val="fr-CA"/>
        </w:rPr>
        <w:t>ls</w:t>
      </w:r>
      <w:r w:rsidR="00A84E92" w:rsidRPr="00CB1763">
        <w:rPr>
          <w:lang w:val="fr-CA"/>
        </w:rPr>
        <w:t>,</w:t>
      </w:r>
      <w:r w:rsidR="002B3107" w:rsidRPr="00CB1763">
        <w:rPr>
          <w:lang w:val="fr-CA"/>
        </w:rPr>
        <w:t xml:space="preserve"> Section 2)</w:t>
      </w:r>
      <w:bookmarkEnd w:id="28"/>
      <w:r w:rsidR="002B3107" w:rsidRPr="00CB1763">
        <w:rPr>
          <w:lang w:val="fr-CA"/>
        </w:rPr>
        <w:t xml:space="preserve"> </w:t>
      </w:r>
    </w:p>
    <w:p w:rsidR="002B3107" w:rsidRPr="00CB1763" w:rsidRDefault="002B3107" w:rsidP="002B3107">
      <w:pPr>
        <w:pStyle w:val="ListParagraph"/>
        <w:rPr>
          <w:rFonts w:cs="Arial"/>
          <w:sz w:val="24"/>
          <w:szCs w:val="24"/>
          <w:lang w:val="fr-CA"/>
        </w:rPr>
      </w:pPr>
    </w:p>
    <w:p w:rsidR="002B3107" w:rsidRPr="00CB1763" w:rsidRDefault="00FA4579" w:rsidP="002B3107">
      <w:pPr>
        <w:pStyle w:val="ListParagraph"/>
        <w:numPr>
          <w:ilvl w:val="0"/>
          <w:numId w:val="8"/>
        </w:numPr>
        <w:spacing w:before="240" w:after="240"/>
        <w:ind w:left="360"/>
        <w:rPr>
          <w:rFonts w:cs="Arial"/>
          <w:sz w:val="24"/>
          <w:szCs w:val="24"/>
          <w:lang w:val="fr-CA"/>
        </w:rPr>
      </w:pPr>
      <w:r w:rsidRPr="00CB1763">
        <w:rPr>
          <w:rFonts w:cs="Arial"/>
          <w:sz w:val="24"/>
          <w:szCs w:val="24"/>
          <w:lang w:val="fr-CA"/>
        </w:rPr>
        <w:t>L’ACSA</w:t>
      </w:r>
      <w:r w:rsidR="002B3107" w:rsidRPr="00CB1763">
        <w:rPr>
          <w:rFonts w:cs="Arial"/>
          <w:sz w:val="24"/>
          <w:szCs w:val="24"/>
          <w:lang w:val="fr-CA"/>
        </w:rPr>
        <w:t xml:space="preserve"> </w:t>
      </w:r>
      <w:r w:rsidR="0052627B" w:rsidRPr="00CB1763">
        <w:rPr>
          <w:rFonts w:cs="Arial"/>
          <w:sz w:val="24"/>
          <w:szCs w:val="24"/>
          <w:lang w:val="fr-CA"/>
        </w:rPr>
        <w:t>est d’avis que la S</w:t>
      </w:r>
      <w:r w:rsidR="002B3107" w:rsidRPr="00CB1763">
        <w:rPr>
          <w:rFonts w:cs="Arial"/>
          <w:sz w:val="24"/>
          <w:szCs w:val="24"/>
          <w:lang w:val="fr-CA"/>
        </w:rPr>
        <w:t xml:space="preserve">ection 2.2 </w:t>
      </w:r>
      <w:r w:rsidR="0052627B" w:rsidRPr="00CB1763">
        <w:rPr>
          <w:rFonts w:cs="Arial"/>
          <w:sz w:val="24"/>
          <w:szCs w:val="24"/>
          <w:lang w:val="fr-CA"/>
        </w:rPr>
        <w:t>de cette norme devrait être modifiée, pour que tous les protêts soient rédigés en anglais.</w:t>
      </w:r>
      <w:r w:rsidR="002B3107" w:rsidRPr="00CB1763">
        <w:rPr>
          <w:rFonts w:cs="Arial"/>
          <w:sz w:val="24"/>
          <w:szCs w:val="24"/>
          <w:lang w:val="fr-CA"/>
        </w:rPr>
        <w:t xml:space="preserve"> </w:t>
      </w:r>
      <w:r w:rsidR="002E2C32" w:rsidRPr="00CB1763">
        <w:rPr>
          <w:rFonts w:cs="Arial"/>
          <w:sz w:val="24"/>
          <w:szCs w:val="24"/>
          <w:lang w:val="fr-CA"/>
        </w:rPr>
        <w:t xml:space="preserve">Le comité des protêts et/ou le jury </w:t>
      </w:r>
      <w:r w:rsidR="00DC29A1" w:rsidRPr="00CB1763">
        <w:rPr>
          <w:rFonts w:cs="Arial"/>
          <w:sz w:val="24"/>
          <w:szCs w:val="24"/>
          <w:lang w:val="fr-CA"/>
        </w:rPr>
        <w:t>d’appel pourra alors beaucoup mieux comprendre les enjeux en présence au moment de se prononcer</w:t>
      </w:r>
      <w:r w:rsidR="002B3107" w:rsidRPr="00CB1763">
        <w:rPr>
          <w:rFonts w:cs="Arial"/>
          <w:sz w:val="24"/>
          <w:szCs w:val="24"/>
          <w:lang w:val="fr-CA"/>
        </w:rPr>
        <w:t xml:space="preserve">. </w:t>
      </w:r>
      <w:r w:rsidR="00DC29A1" w:rsidRPr="00CB1763">
        <w:rPr>
          <w:rFonts w:cs="Arial"/>
          <w:sz w:val="24"/>
          <w:szCs w:val="24"/>
          <w:lang w:val="fr-CA"/>
        </w:rPr>
        <w:t>Même si cette question est soulevée à l’article</w:t>
      </w:r>
      <w:r w:rsidR="002B3107" w:rsidRPr="00CB1763">
        <w:rPr>
          <w:rFonts w:cs="Arial"/>
          <w:sz w:val="24"/>
          <w:szCs w:val="24"/>
          <w:lang w:val="fr-CA"/>
        </w:rPr>
        <w:t xml:space="preserve"> 6.2.4 </w:t>
      </w:r>
      <w:r w:rsidR="00DC29A1" w:rsidRPr="00CB1763">
        <w:rPr>
          <w:rFonts w:cs="Arial"/>
          <w:sz w:val="24"/>
          <w:szCs w:val="24"/>
          <w:lang w:val="fr-CA"/>
        </w:rPr>
        <w:t>de la norme, l’ACSA est d’avis qu’il serait préférable d’en faire mention ici.</w:t>
      </w:r>
    </w:p>
    <w:p w:rsidR="002B3107" w:rsidRPr="00CB1763" w:rsidRDefault="002B3107" w:rsidP="002B3107">
      <w:pPr>
        <w:pStyle w:val="ListParagraph"/>
        <w:spacing w:before="240" w:after="240"/>
        <w:rPr>
          <w:rFonts w:cs="Arial"/>
          <w:sz w:val="24"/>
          <w:szCs w:val="24"/>
          <w:lang w:val="fr-CA"/>
        </w:rPr>
      </w:pPr>
    </w:p>
    <w:p w:rsidR="002B3107" w:rsidRPr="00CB1763" w:rsidRDefault="00FA4579" w:rsidP="002B3107">
      <w:pPr>
        <w:pStyle w:val="ListParagraph"/>
        <w:numPr>
          <w:ilvl w:val="0"/>
          <w:numId w:val="8"/>
        </w:numPr>
        <w:spacing w:before="240" w:after="240"/>
        <w:ind w:left="360"/>
        <w:rPr>
          <w:rFonts w:cs="Arial"/>
          <w:sz w:val="24"/>
          <w:szCs w:val="24"/>
          <w:lang w:val="fr-CA"/>
        </w:rPr>
      </w:pPr>
      <w:r w:rsidRPr="00CB1763">
        <w:rPr>
          <w:rFonts w:cs="Arial"/>
          <w:sz w:val="24"/>
          <w:szCs w:val="24"/>
          <w:lang w:val="fr-CA"/>
        </w:rPr>
        <w:t>L’ACSA</w:t>
      </w:r>
      <w:r w:rsidR="002B3107" w:rsidRPr="00CB1763">
        <w:rPr>
          <w:rFonts w:cs="Arial"/>
          <w:sz w:val="24"/>
          <w:szCs w:val="24"/>
          <w:lang w:val="fr-CA"/>
        </w:rPr>
        <w:t xml:space="preserve"> </w:t>
      </w:r>
      <w:r w:rsidR="008109E8" w:rsidRPr="00CB1763">
        <w:rPr>
          <w:rFonts w:cs="Arial"/>
          <w:sz w:val="24"/>
          <w:szCs w:val="24"/>
          <w:lang w:val="fr-CA"/>
        </w:rPr>
        <w:t>n’est pas du tout d’accord avec la formulation de la</w:t>
      </w:r>
      <w:r w:rsidR="002B3107" w:rsidRPr="00CB1763">
        <w:rPr>
          <w:rFonts w:cs="Arial"/>
          <w:sz w:val="24"/>
          <w:szCs w:val="24"/>
          <w:lang w:val="fr-CA"/>
        </w:rPr>
        <w:t xml:space="preserve"> Section 2.7 </w:t>
      </w:r>
      <w:r w:rsidR="008109E8" w:rsidRPr="00CB1763">
        <w:rPr>
          <w:rFonts w:cs="Arial"/>
          <w:sz w:val="24"/>
          <w:szCs w:val="24"/>
          <w:lang w:val="fr-CA"/>
        </w:rPr>
        <w:t>de cette norme.</w:t>
      </w:r>
      <w:r w:rsidR="002B3107" w:rsidRPr="00CB1763">
        <w:rPr>
          <w:rFonts w:cs="Arial"/>
          <w:sz w:val="24"/>
          <w:szCs w:val="24"/>
          <w:lang w:val="fr-CA"/>
        </w:rPr>
        <w:t xml:space="preserve"> </w:t>
      </w:r>
      <w:r w:rsidR="00E32101" w:rsidRPr="00CB1763">
        <w:rPr>
          <w:rFonts w:cs="Arial"/>
          <w:sz w:val="24"/>
          <w:szCs w:val="24"/>
          <w:lang w:val="fr-CA"/>
        </w:rPr>
        <w:t>En aucun cas</w:t>
      </w:r>
      <w:r w:rsidR="002B3107" w:rsidRPr="00CB1763">
        <w:rPr>
          <w:rFonts w:cs="Arial"/>
          <w:sz w:val="24"/>
          <w:szCs w:val="24"/>
          <w:lang w:val="fr-CA"/>
        </w:rPr>
        <w:t xml:space="preserve"> </w:t>
      </w:r>
      <w:r w:rsidR="00127220" w:rsidRPr="00CB1763">
        <w:rPr>
          <w:rFonts w:cs="Arial"/>
          <w:sz w:val="24"/>
          <w:szCs w:val="24"/>
          <w:lang w:val="fr-CA"/>
        </w:rPr>
        <w:t>un responsable de la classification</w:t>
      </w:r>
      <w:r w:rsidR="002B3107" w:rsidRPr="00CB1763">
        <w:rPr>
          <w:rFonts w:cs="Arial"/>
          <w:sz w:val="24"/>
          <w:szCs w:val="24"/>
          <w:lang w:val="fr-CA"/>
        </w:rPr>
        <w:t xml:space="preserve"> </w:t>
      </w:r>
      <w:r w:rsidR="00127220" w:rsidRPr="00CB1763">
        <w:rPr>
          <w:rFonts w:cs="Arial"/>
          <w:sz w:val="24"/>
          <w:szCs w:val="24"/>
          <w:lang w:val="fr-CA"/>
        </w:rPr>
        <w:t>ayant pris une décision faisant l’objet d’un protêt</w:t>
      </w:r>
      <w:r w:rsidR="002B3107" w:rsidRPr="00CB1763">
        <w:rPr>
          <w:rFonts w:cs="Arial"/>
          <w:sz w:val="24"/>
          <w:szCs w:val="24"/>
          <w:lang w:val="fr-CA"/>
        </w:rPr>
        <w:t xml:space="preserve"> </w:t>
      </w:r>
      <w:r w:rsidR="00127220" w:rsidRPr="00CB1763">
        <w:rPr>
          <w:rFonts w:cs="Arial"/>
          <w:sz w:val="24"/>
          <w:szCs w:val="24"/>
          <w:lang w:val="fr-CA"/>
        </w:rPr>
        <w:t>peut-il faire partie du jury appelé à rendre un jugement à cet effet.</w:t>
      </w:r>
      <w:r w:rsidR="002B3107" w:rsidRPr="00CB1763">
        <w:rPr>
          <w:rFonts w:cs="Arial"/>
          <w:sz w:val="24"/>
          <w:szCs w:val="24"/>
          <w:lang w:val="fr-CA"/>
        </w:rPr>
        <w:t xml:space="preserve"> </w:t>
      </w:r>
      <w:r w:rsidR="00A85881" w:rsidRPr="00CB1763">
        <w:rPr>
          <w:rFonts w:cs="Arial"/>
          <w:sz w:val="24"/>
          <w:szCs w:val="24"/>
          <w:lang w:val="fr-CA"/>
        </w:rPr>
        <w:t>Cela donnerait lieu à une perception de partialité ou de parti pris</w:t>
      </w:r>
      <w:r w:rsidR="002B3107" w:rsidRPr="00CB1763">
        <w:rPr>
          <w:rFonts w:cs="Arial"/>
          <w:sz w:val="24"/>
          <w:szCs w:val="24"/>
          <w:lang w:val="fr-CA"/>
        </w:rPr>
        <w:t xml:space="preserve">. </w:t>
      </w:r>
      <w:r w:rsidR="009E440E" w:rsidRPr="00CB1763">
        <w:rPr>
          <w:rFonts w:cs="Arial"/>
          <w:sz w:val="24"/>
          <w:szCs w:val="24"/>
          <w:lang w:val="fr-CA"/>
        </w:rPr>
        <w:t>L’impartialité et l’intégrité du processus pourraient également être remises en cause</w:t>
      </w:r>
      <w:r w:rsidR="002B3107" w:rsidRPr="00CB1763">
        <w:rPr>
          <w:rFonts w:cs="Arial"/>
          <w:sz w:val="24"/>
          <w:szCs w:val="24"/>
          <w:lang w:val="fr-CA"/>
        </w:rPr>
        <w:t xml:space="preserve">. </w:t>
      </w:r>
      <w:r w:rsidR="004E3786" w:rsidRPr="00CB1763">
        <w:rPr>
          <w:rFonts w:cs="Arial"/>
          <w:sz w:val="24"/>
          <w:szCs w:val="24"/>
          <w:lang w:val="fr-CA"/>
        </w:rPr>
        <w:t>Tout le volet relations publiques du CIP risque d’en souffrir, au moment même où ce dernier cherche</w:t>
      </w:r>
      <w:r w:rsidR="002B3107" w:rsidRPr="00CB1763">
        <w:rPr>
          <w:rFonts w:cs="Arial"/>
          <w:sz w:val="24"/>
          <w:szCs w:val="24"/>
          <w:lang w:val="fr-CA"/>
        </w:rPr>
        <w:t xml:space="preserve"> </w:t>
      </w:r>
      <w:r w:rsidR="00057B2F">
        <w:rPr>
          <w:rFonts w:cs="Arial"/>
          <w:sz w:val="24"/>
          <w:szCs w:val="24"/>
          <w:lang w:val="fr-CA"/>
        </w:rPr>
        <w:t>à mieux faire connaître le M</w:t>
      </w:r>
      <w:r w:rsidR="004E3786" w:rsidRPr="00CB1763">
        <w:rPr>
          <w:rFonts w:cs="Arial"/>
          <w:sz w:val="24"/>
          <w:szCs w:val="24"/>
          <w:lang w:val="fr-CA"/>
        </w:rPr>
        <w:t>ouvement paralympique.</w:t>
      </w:r>
      <w:r w:rsidR="002B3107" w:rsidRPr="00CB1763">
        <w:rPr>
          <w:rFonts w:cs="Arial"/>
          <w:sz w:val="24"/>
          <w:szCs w:val="24"/>
          <w:lang w:val="fr-CA"/>
        </w:rPr>
        <w:t xml:space="preserve"> </w:t>
      </w:r>
      <w:r w:rsidR="003546CC" w:rsidRPr="00CB1763">
        <w:rPr>
          <w:rFonts w:cs="Arial"/>
          <w:sz w:val="24"/>
          <w:szCs w:val="24"/>
          <w:lang w:val="fr-CA"/>
        </w:rPr>
        <w:t>Les mêmes commentaires s’appliquent à l’article</w:t>
      </w:r>
      <w:r w:rsidR="002B3107" w:rsidRPr="00CB1763">
        <w:rPr>
          <w:rFonts w:cs="Arial"/>
          <w:sz w:val="24"/>
          <w:szCs w:val="24"/>
          <w:lang w:val="fr-CA"/>
        </w:rPr>
        <w:t xml:space="preserve"> 6.3.2 </w:t>
      </w:r>
      <w:r w:rsidR="003546CC" w:rsidRPr="00CB1763">
        <w:rPr>
          <w:rFonts w:cs="Arial"/>
          <w:sz w:val="24"/>
          <w:szCs w:val="24"/>
          <w:lang w:val="fr-CA"/>
        </w:rPr>
        <w:t>de la norme</w:t>
      </w:r>
      <w:r w:rsidR="007253B4" w:rsidRPr="00CB1763">
        <w:rPr>
          <w:rFonts w:cs="Arial"/>
          <w:sz w:val="24"/>
          <w:szCs w:val="24"/>
          <w:lang w:val="fr-CA"/>
        </w:rPr>
        <w:t>.</w:t>
      </w:r>
    </w:p>
    <w:p w:rsidR="002B3107" w:rsidRPr="00CB1763" w:rsidRDefault="00B47D10" w:rsidP="002B3107">
      <w:pPr>
        <w:pStyle w:val="Heading2"/>
        <w:numPr>
          <w:ilvl w:val="0"/>
          <w:numId w:val="11"/>
        </w:numPr>
        <w:rPr>
          <w:lang w:val="fr-CA"/>
        </w:rPr>
      </w:pPr>
      <w:bookmarkStart w:id="29" w:name="_Toc368318361"/>
      <w:r w:rsidRPr="00CB1763">
        <w:rPr>
          <w:lang w:val="fr-CA"/>
        </w:rPr>
        <w:t>Occasions de protêt</w:t>
      </w:r>
      <w:r w:rsidR="002B3107" w:rsidRPr="00CB1763">
        <w:rPr>
          <w:lang w:val="fr-CA"/>
        </w:rPr>
        <w:t xml:space="preserve"> (</w:t>
      </w:r>
      <w:r w:rsidR="002A2650" w:rsidRPr="00CB1763">
        <w:rPr>
          <w:lang w:val="fr-CA"/>
        </w:rPr>
        <w:t>Norme : protê</w:t>
      </w:r>
      <w:r w:rsidR="002B3107" w:rsidRPr="00CB1763">
        <w:rPr>
          <w:lang w:val="fr-CA"/>
        </w:rPr>
        <w:t>t</w:t>
      </w:r>
      <w:r w:rsidR="002A2650" w:rsidRPr="00CB1763">
        <w:rPr>
          <w:lang w:val="fr-CA"/>
        </w:rPr>
        <w:t>s et appe</w:t>
      </w:r>
      <w:r w:rsidR="002B3107" w:rsidRPr="00CB1763">
        <w:rPr>
          <w:lang w:val="fr-CA"/>
        </w:rPr>
        <w:t>ls, Section 4)</w:t>
      </w:r>
      <w:bookmarkEnd w:id="29"/>
    </w:p>
    <w:p w:rsidR="002B3107" w:rsidRPr="00CB1763" w:rsidRDefault="002B3107" w:rsidP="002B3107">
      <w:pPr>
        <w:pStyle w:val="ListParagraph"/>
        <w:rPr>
          <w:rFonts w:cs="Arial"/>
          <w:sz w:val="24"/>
          <w:szCs w:val="24"/>
          <w:lang w:val="fr-CA"/>
        </w:rPr>
      </w:pPr>
    </w:p>
    <w:p w:rsidR="002B3107" w:rsidRPr="00CB1763" w:rsidRDefault="00FA4579" w:rsidP="002B3107">
      <w:pPr>
        <w:pStyle w:val="ListParagraph"/>
        <w:numPr>
          <w:ilvl w:val="0"/>
          <w:numId w:val="8"/>
        </w:numPr>
        <w:ind w:left="360"/>
        <w:rPr>
          <w:rFonts w:cs="Arial"/>
          <w:sz w:val="24"/>
          <w:szCs w:val="24"/>
          <w:lang w:val="fr-CA"/>
        </w:rPr>
      </w:pPr>
      <w:r w:rsidRPr="00CB1763">
        <w:rPr>
          <w:rFonts w:cs="Arial"/>
          <w:sz w:val="24"/>
          <w:szCs w:val="24"/>
          <w:lang w:val="fr-CA"/>
        </w:rPr>
        <w:t>L’ACSA</w:t>
      </w:r>
      <w:r w:rsidR="002B3107" w:rsidRPr="00CB1763">
        <w:rPr>
          <w:rFonts w:cs="Arial"/>
          <w:sz w:val="24"/>
          <w:szCs w:val="24"/>
          <w:lang w:val="fr-CA"/>
        </w:rPr>
        <w:t xml:space="preserve"> </w:t>
      </w:r>
      <w:r w:rsidR="00ED793A" w:rsidRPr="00CB1763">
        <w:rPr>
          <w:rFonts w:cs="Arial"/>
          <w:sz w:val="24"/>
          <w:szCs w:val="24"/>
          <w:lang w:val="fr-CA"/>
        </w:rPr>
        <w:t xml:space="preserve">est d’avis qu’en vertu de l’article </w:t>
      </w:r>
      <w:r w:rsidR="002B3107" w:rsidRPr="00CB1763">
        <w:rPr>
          <w:rFonts w:cs="Arial"/>
          <w:sz w:val="24"/>
          <w:szCs w:val="24"/>
          <w:lang w:val="fr-CA"/>
        </w:rPr>
        <w:t xml:space="preserve">4.3.2, </w:t>
      </w:r>
      <w:r w:rsidR="00ED793A" w:rsidRPr="00CB1763">
        <w:rPr>
          <w:rFonts w:cs="Arial"/>
          <w:sz w:val="24"/>
          <w:szCs w:val="24"/>
          <w:lang w:val="fr-CA"/>
        </w:rPr>
        <w:t>une demande d’examen avec date butoir, tel que le recommande l’Association,</w:t>
      </w:r>
      <w:r w:rsidR="002B3107" w:rsidRPr="00CB1763">
        <w:rPr>
          <w:rFonts w:cs="Arial"/>
          <w:sz w:val="24"/>
          <w:szCs w:val="24"/>
          <w:lang w:val="fr-CA"/>
        </w:rPr>
        <w:t xml:space="preserve"> </w:t>
      </w:r>
      <w:r w:rsidR="00ED793A" w:rsidRPr="00CB1763">
        <w:rPr>
          <w:rFonts w:cs="Arial"/>
          <w:sz w:val="24"/>
          <w:szCs w:val="24"/>
          <w:lang w:val="fr-CA"/>
        </w:rPr>
        <w:t>soit ajoutée et prise en compte au même titre</w:t>
      </w:r>
      <w:r w:rsidR="002B3107" w:rsidRPr="00CB1763">
        <w:rPr>
          <w:rFonts w:cs="Arial"/>
          <w:sz w:val="24"/>
          <w:szCs w:val="24"/>
          <w:lang w:val="fr-CA"/>
        </w:rPr>
        <w:t xml:space="preserve"> </w:t>
      </w:r>
      <w:r w:rsidR="00ED793A" w:rsidRPr="00CB1763">
        <w:rPr>
          <w:rFonts w:cs="Arial"/>
          <w:sz w:val="24"/>
          <w:szCs w:val="24"/>
          <w:lang w:val="fr-CA"/>
        </w:rPr>
        <w:t>qu’une</w:t>
      </w:r>
      <w:r w:rsidR="002B3107" w:rsidRPr="00CB1763">
        <w:rPr>
          <w:rFonts w:cs="Arial"/>
          <w:sz w:val="24"/>
          <w:szCs w:val="24"/>
          <w:lang w:val="fr-CA"/>
        </w:rPr>
        <w:t xml:space="preserve"> classification</w:t>
      </w:r>
      <w:r w:rsidR="00ED793A" w:rsidRPr="00CB1763">
        <w:rPr>
          <w:rFonts w:cs="Arial"/>
          <w:sz w:val="24"/>
          <w:szCs w:val="24"/>
          <w:lang w:val="fr-CA"/>
        </w:rPr>
        <w:t xml:space="preserve"> confirmée, pendant la période entre la date de</w:t>
      </w:r>
      <w:r w:rsidR="002B3107" w:rsidRPr="00CB1763">
        <w:rPr>
          <w:rFonts w:cs="Arial"/>
          <w:sz w:val="24"/>
          <w:szCs w:val="24"/>
          <w:lang w:val="fr-CA"/>
        </w:rPr>
        <w:t xml:space="preserve"> classification</w:t>
      </w:r>
      <w:r w:rsidR="00ED793A" w:rsidRPr="00CB1763">
        <w:rPr>
          <w:rFonts w:cs="Arial"/>
          <w:sz w:val="24"/>
          <w:szCs w:val="24"/>
          <w:lang w:val="fr-CA"/>
        </w:rPr>
        <w:t xml:space="preserve"> et la date de révision</w:t>
      </w:r>
      <w:r w:rsidR="00610126" w:rsidRPr="00CB1763">
        <w:rPr>
          <w:rFonts w:cs="Arial"/>
          <w:sz w:val="24"/>
          <w:szCs w:val="24"/>
          <w:lang w:val="fr-CA"/>
        </w:rPr>
        <w:t xml:space="preserve">. </w:t>
      </w:r>
      <w:r w:rsidR="007B2F91" w:rsidRPr="00CB1763">
        <w:rPr>
          <w:rFonts w:cs="Arial"/>
          <w:sz w:val="24"/>
          <w:szCs w:val="24"/>
          <w:lang w:val="fr-CA"/>
        </w:rPr>
        <w:t>Tout cela parce que le jury de</w:t>
      </w:r>
      <w:r w:rsidR="002B3107" w:rsidRPr="00CB1763">
        <w:rPr>
          <w:rFonts w:cs="Arial"/>
          <w:sz w:val="24"/>
          <w:szCs w:val="24"/>
          <w:lang w:val="fr-CA"/>
        </w:rPr>
        <w:t xml:space="preserve"> classification </w:t>
      </w:r>
      <w:r w:rsidR="007B2F91" w:rsidRPr="00CB1763">
        <w:rPr>
          <w:rFonts w:cs="Arial"/>
          <w:sz w:val="24"/>
          <w:szCs w:val="24"/>
          <w:lang w:val="fr-CA"/>
        </w:rPr>
        <w:t>a déterminé que</w:t>
      </w:r>
      <w:r w:rsidR="002B3107" w:rsidRPr="00CB1763">
        <w:rPr>
          <w:rFonts w:cs="Arial"/>
          <w:sz w:val="24"/>
          <w:szCs w:val="24"/>
          <w:lang w:val="fr-CA"/>
        </w:rPr>
        <w:t xml:space="preserve"> </w:t>
      </w:r>
      <w:r w:rsidR="007B2F91" w:rsidRPr="00CB1763">
        <w:rPr>
          <w:rFonts w:cs="Arial"/>
          <w:sz w:val="24"/>
          <w:szCs w:val="24"/>
          <w:lang w:val="fr-CA"/>
        </w:rPr>
        <w:t>l’athlète n’a pas à être classé de nouveau</w:t>
      </w:r>
      <w:r w:rsidR="002B3107" w:rsidRPr="00CB1763">
        <w:rPr>
          <w:rFonts w:cs="Arial"/>
          <w:sz w:val="24"/>
          <w:szCs w:val="24"/>
          <w:lang w:val="fr-CA"/>
        </w:rPr>
        <w:t xml:space="preserve"> </w:t>
      </w:r>
      <w:r w:rsidR="007B2F91" w:rsidRPr="00CB1763">
        <w:rPr>
          <w:rFonts w:cs="Arial"/>
          <w:sz w:val="24"/>
          <w:szCs w:val="24"/>
          <w:lang w:val="fr-CA"/>
        </w:rPr>
        <w:t xml:space="preserve">pendant la période de </w:t>
      </w:r>
      <w:r w:rsidR="007B2F91" w:rsidRPr="00CB1763">
        <w:rPr>
          <w:rFonts w:cs="Arial"/>
          <w:sz w:val="24"/>
          <w:szCs w:val="24"/>
          <w:lang w:val="fr-CA"/>
        </w:rPr>
        <w:lastRenderedPageBreak/>
        <w:t>révision.</w:t>
      </w:r>
      <w:r w:rsidR="002B3107" w:rsidRPr="00CB1763">
        <w:rPr>
          <w:rFonts w:cs="Arial"/>
          <w:sz w:val="24"/>
          <w:szCs w:val="24"/>
          <w:lang w:val="fr-CA"/>
        </w:rPr>
        <w:t xml:space="preserve"> </w:t>
      </w:r>
      <w:r w:rsidR="00DD05C4" w:rsidRPr="00CB1763">
        <w:rPr>
          <w:rFonts w:cs="Arial"/>
          <w:sz w:val="24"/>
          <w:szCs w:val="24"/>
          <w:lang w:val="fr-CA"/>
        </w:rPr>
        <w:t>Tous les athlètes, peu importe leur catégorie, ont les mêmes droits de protêt</w:t>
      </w:r>
      <w:r w:rsidR="00610126" w:rsidRPr="00CB1763">
        <w:rPr>
          <w:rFonts w:cs="Arial"/>
          <w:sz w:val="24"/>
          <w:szCs w:val="24"/>
          <w:lang w:val="fr-CA"/>
        </w:rPr>
        <w:t>.</w:t>
      </w:r>
      <w:r w:rsidR="002B3107" w:rsidRPr="00CB1763">
        <w:rPr>
          <w:rFonts w:cs="Arial"/>
          <w:sz w:val="24"/>
          <w:szCs w:val="24"/>
          <w:lang w:val="fr-CA"/>
        </w:rPr>
        <w:t xml:space="preserve"> </w:t>
      </w:r>
      <w:r w:rsidR="00DD05C4" w:rsidRPr="00CB1763">
        <w:rPr>
          <w:rFonts w:cs="Arial"/>
          <w:sz w:val="24"/>
          <w:szCs w:val="24"/>
          <w:lang w:val="fr-CA"/>
        </w:rPr>
        <w:t>L’ACSA insiste de nouveau sur</w:t>
      </w:r>
      <w:r w:rsidR="002B3107" w:rsidRPr="00CB1763">
        <w:rPr>
          <w:rFonts w:cs="Arial"/>
          <w:sz w:val="24"/>
          <w:szCs w:val="24"/>
          <w:lang w:val="fr-CA"/>
        </w:rPr>
        <w:t xml:space="preserve"> </w:t>
      </w:r>
      <w:r w:rsidR="00DD05C4" w:rsidRPr="00CB1763">
        <w:rPr>
          <w:rFonts w:cs="Arial"/>
          <w:sz w:val="24"/>
          <w:szCs w:val="24"/>
          <w:lang w:val="fr-CA"/>
        </w:rPr>
        <w:t>l’importance de revoir la classification dans un délai imparti lorsque</w:t>
      </w:r>
      <w:r w:rsidR="002B3107" w:rsidRPr="00CB1763">
        <w:rPr>
          <w:rFonts w:cs="Arial"/>
          <w:sz w:val="24"/>
          <w:szCs w:val="24"/>
          <w:lang w:val="fr-CA"/>
        </w:rPr>
        <w:t xml:space="preserve"> </w:t>
      </w:r>
      <w:r w:rsidR="00DD05C4" w:rsidRPr="00CB1763">
        <w:rPr>
          <w:rFonts w:cs="Arial"/>
          <w:sz w:val="24"/>
          <w:szCs w:val="24"/>
          <w:lang w:val="fr-CA"/>
        </w:rPr>
        <w:t>les capacités d’un athlète diminuent ou en présence d’une déficience instable</w:t>
      </w:r>
      <w:r w:rsidR="00610126" w:rsidRPr="00CB1763">
        <w:rPr>
          <w:rFonts w:cs="Arial"/>
          <w:sz w:val="24"/>
          <w:szCs w:val="24"/>
          <w:lang w:val="fr-CA"/>
        </w:rPr>
        <w:t>.</w:t>
      </w:r>
      <w:r w:rsidR="002B3107" w:rsidRPr="00CB1763">
        <w:rPr>
          <w:rFonts w:cs="Arial"/>
          <w:sz w:val="24"/>
          <w:szCs w:val="24"/>
          <w:lang w:val="fr-CA"/>
        </w:rPr>
        <w:t xml:space="preserve"> </w:t>
      </w:r>
      <w:r w:rsidR="00DD05C4" w:rsidRPr="00CB1763">
        <w:rPr>
          <w:rFonts w:cs="Arial"/>
          <w:sz w:val="24"/>
          <w:szCs w:val="24"/>
          <w:lang w:val="fr-CA"/>
        </w:rPr>
        <w:t>Ces commentaires s’appliquent également à la S</w:t>
      </w:r>
      <w:r w:rsidR="002B3107" w:rsidRPr="00CB1763">
        <w:rPr>
          <w:rFonts w:cs="Arial"/>
          <w:sz w:val="24"/>
          <w:szCs w:val="24"/>
          <w:lang w:val="fr-CA"/>
        </w:rPr>
        <w:t xml:space="preserve">ection 4.5 </w:t>
      </w:r>
      <w:r w:rsidR="00DD05C4" w:rsidRPr="00CB1763">
        <w:rPr>
          <w:rFonts w:cs="Arial"/>
          <w:sz w:val="24"/>
          <w:szCs w:val="24"/>
          <w:lang w:val="fr-CA"/>
        </w:rPr>
        <w:t>de la norme</w:t>
      </w:r>
      <w:r w:rsidR="002B3107" w:rsidRPr="00CB1763">
        <w:rPr>
          <w:rFonts w:cs="Arial"/>
          <w:sz w:val="24"/>
          <w:szCs w:val="24"/>
          <w:lang w:val="fr-CA"/>
        </w:rPr>
        <w:t>.</w:t>
      </w:r>
    </w:p>
    <w:p w:rsidR="002B3107" w:rsidRPr="00CB1763" w:rsidRDefault="002B3107" w:rsidP="002B3107">
      <w:pPr>
        <w:pStyle w:val="ListParagraph"/>
        <w:rPr>
          <w:rFonts w:cs="Arial"/>
          <w:sz w:val="24"/>
          <w:szCs w:val="24"/>
          <w:lang w:val="fr-CA"/>
        </w:rPr>
      </w:pPr>
    </w:p>
    <w:p w:rsidR="002B3107" w:rsidRPr="00CB1763" w:rsidRDefault="00FA4579" w:rsidP="002B3107">
      <w:pPr>
        <w:pStyle w:val="ListParagraph"/>
        <w:numPr>
          <w:ilvl w:val="0"/>
          <w:numId w:val="8"/>
        </w:numPr>
        <w:ind w:left="360"/>
        <w:rPr>
          <w:rFonts w:cs="Arial"/>
          <w:sz w:val="24"/>
          <w:szCs w:val="24"/>
          <w:lang w:val="fr-CA"/>
        </w:rPr>
      </w:pPr>
      <w:r w:rsidRPr="00CB1763">
        <w:rPr>
          <w:rFonts w:cs="Arial"/>
          <w:sz w:val="24"/>
          <w:szCs w:val="24"/>
          <w:lang w:val="fr-CA"/>
        </w:rPr>
        <w:t>L’ACSA</w:t>
      </w:r>
      <w:r w:rsidR="002B3107" w:rsidRPr="00CB1763">
        <w:rPr>
          <w:rFonts w:cs="Arial"/>
          <w:sz w:val="24"/>
          <w:szCs w:val="24"/>
          <w:lang w:val="fr-CA"/>
        </w:rPr>
        <w:t xml:space="preserve"> </w:t>
      </w:r>
      <w:r w:rsidR="00FF77F0" w:rsidRPr="00CB1763">
        <w:rPr>
          <w:rFonts w:cs="Arial"/>
          <w:sz w:val="24"/>
          <w:szCs w:val="24"/>
          <w:lang w:val="fr-CA"/>
        </w:rPr>
        <w:t>est d’avis également que la catégorie « incomplète »</w:t>
      </w:r>
      <w:r w:rsidR="002B3107" w:rsidRPr="00CB1763">
        <w:rPr>
          <w:rFonts w:cs="Arial"/>
          <w:sz w:val="24"/>
          <w:szCs w:val="24"/>
          <w:lang w:val="fr-CA"/>
        </w:rPr>
        <w:t xml:space="preserve"> </w:t>
      </w:r>
      <w:r w:rsidR="00FF77F0" w:rsidRPr="00CB1763">
        <w:rPr>
          <w:rFonts w:cs="Arial"/>
          <w:sz w:val="24"/>
          <w:szCs w:val="24"/>
          <w:lang w:val="fr-CA"/>
        </w:rPr>
        <w:t>doit être ajoutée aux Sections 4.3 et 4.5.</w:t>
      </w:r>
      <w:r w:rsidR="002B3107" w:rsidRPr="00CB1763">
        <w:rPr>
          <w:rFonts w:cs="Arial"/>
          <w:sz w:val="24"/>
          <w:szCs w:val="24"/>
          <w:lang w:val="fr-CA"/>
        </w:rPr>
        <w:t xml:space="preserve"> </w:t>
      </w:r>
      <w:r w:rsidR="00357799" w:rsidRPr="00CB1763">
        <w:rPr>
          <w:rFonts w:cs="Arial"/>
          <w:sz w:val="24"/>
          <w:szCs w:val="24"/>
          <w:lang w:val="fr-CA"/>
        </w:rPr>
        <w:t>Cette catégorie ne doit pas faire l’</w:t>
      </w:r>
      <w:r w:rsidR="00057B2F">
        <w:rPr>
          <w:rFonts w:cs="Arial"/>
          <w:sz w:val="24"/>
          <w:szCs w:val="24"/>
          <w:lang w:val="fr-CA"/>
        </w:rPr>
        <w:t>objet d’un protêt ou d’un appel</w:t>
      </w:r>
      <w:r w:rsidR="00357799" w:rsidRPr="00CB1763">
        <w:rPr>
          <w:rFonts w:cs="Arial"/>
          <w:sz w:val="24"/>
          <w:szCs w:val="24"/>
          <w:lang w:val="fr-CA"/>
        </w:rPr>
        <w:t xml:space="preserve"> toutefois, à moins</w:t>
      </w:r>
      <w:r w:rsidR="002B3107" w:rsidRPr="00CB1763">
        <w:rPr>
          <w:rFonts w:cs="Arial"/>
          <w:sz w:val="24"/>
          <w:szCs w:val="24"/>
          <w:lang w:val="fr-CA"/>
        </w:rPr>
        <w:t xml:space="preserve"> </w:t>
      </w:r>
      <w:r w:rsidR="00357799" w:rsidRPr="00CB1763">
        <w:rPr>
          <w:rFonts w:cs="Arial"/>
          <w:sz w:val="24"/>
          <w:szCs w:val="24"/>
          <w:lang w:val="fr-CA"/>
        </w:rPr>
        <w:t>qu’un vice de procédure ne soit signalé</w:t>
      </w:r>
      <w:r w:rsidR="002B3107" w:rsidRPr="00CB1763">
        <w:rPr>
          <w:rFonts w:cs="Arial"/>
          <w:sz w:val="24"/>
          <w:szCs w:val="24"/>
          <w:lang w:val="fr-CA"/>
        </w:rPr>
        <w:t>.</w:t>
      </w:r>
    </w:p>
    <w:p w:rsidR="002B3107" w:rsidRPr="00CB1763" w:rsidRDefault="00B47D10" w:rsidP="002B3107">
      <w:pPr>
        <w:pStyle w:val="Heading2"/>
        <w:numPr>
          <w:ilvl w:val="0"/>
          <w:numId w:val="11"/>
        </w:numPr>
        <w:rPr>
          <w:lang w:val="fr-CA"/>
        </w:rPr>
      </w:pPr>
      <w:bookmarkStart w:id="30" w:name="_Toc368318362"/>
      <w:r w:rsidRPr="00CB1763">
        <w:rPr>
          <w:lang w:val="fr-CA"/>
        </w:rPr>
        <w:t>Procé</w:t>
      </w:r>
      <w:r w:rsidR="002B3107" w:rsidRPr="00CB1763">
        <w:rPr>
          <w:lang w:val="fr-CA"/>
        </w:rPr>
        <w:t>dures</w:t>
      </w:r>
      <w:r w:rsidRPr="00CB1763">
        <w:rPr>
          <w:lang w:val="fr-CA"/>
        </w:rPr>
        <w:t xml:space="preserve"> régissant les protêts durant une compé</w:t>
      </w:r>
      <w:r w:rsidR="002B3107" w:rsidRPr="00CB1763">
        <w:rPr>
          <w:lang w:val="fr-CA"/>
        </w:rPr>
        <w:t>tition</w:t>
      </w:r>
      <w:bookmarkEnd w:id="30"/>
    </w:p>
    <w:p w:rsidR="002B3107" w:rsidRPr="00CB1763" w:rsidRDefault="002B3107" w:rsidP="002B3107">
      <w:pPr>
        <w:pStyle w:val="ListParagraph"/>
        <w:rPr>
          <w:rFonts w:cs="Arial"/>
          <w:sz w:val="24"/>
          <w:szCs w:val="24"/>
          <w:lang w:val="fr-CA"/>
        </w:rPr>
      </w:pPr>
    </w:p>
    <w:p w:rsidR="002B3107" w:rsidRPr="00CB1763" w:rsidRDefault="00B47D10" w:rsidP="003576E5">
      <w:pPr>
        <w:pStyle w:val="ListParagraph"/>
        <w:numPr>
          <w:ilvl w:val="0"/>
          <w:numId w:val="8"/>
        </w:numPr>
        <w:ind w:left="360"/>
        <w:rPr>
          <w:rFonts w:cs="Arial"/>
          <w:sz w:val="24"/>
          <w:szCs w:val="24"/>
          <w:lang w:val="fr-CA"/>
        </w:rPr>
      </w:pPr>
      <w:r w:rsidRPr="00CB1763">
        <w:rPr>
          <w:rFonts w:cs="Arial"/>
          <w:sz w:val="24"/>
          <w:szCs w:val="24"/>
          <w:lang w:val="fr-CA"/>
        </w:rPr>
        <w:t>L’ACSA</w:t>
      </w:r>
      <w:r w:rsidR="002B3107" w:rsidRPr="00CB1763">
        <w:rPr>
          <w:rFonts w:cs="Arial"/>
          <w:sz w:val="24"/>
          <w:szCs w:val="24"/>
          <w:lang w:val="fr-CA"/>
        </w:rPr>
        <w:t xml:space="preserve"> </w:t>
      </w:r>
      <w:r w:rsidR="001122A0" w:rsidRPr="00CB1763">
        <w:rPr>
          <w:rFonts w:cs="Arial"/>
          <w:sz w:val="24"/>
          <w:szCs w:val="24"/>
          <w:lang w:val="fr-CA"/>
        </w:rPr>
        <w:t>est d’avis que le chef de la classification pourrait être en conflit d’intérêt</w:t>
      </w:r>
      <w:r w:rsidR="002B3107" w:rsidRPr="00CB1763">
        <w:rPr>
          <w:rFonts w:cs="Arial"/>
          <w:sz w:val="24"/>
          <w:szCs w:val="24"/>
          <w:lang w:val="fr-CA"/>
        </w:rPr>
        <w:t xml:space="preserve"> </w:t>
      </w:r>
      <w:r w:rsidR="001122A0" w:rsidRPr="00CB1763">
        <w:rPr>
          <w:rFonts w:cs="Arial"/>
          <w:sz w:val="24"/>
          <w:szCs w:val="24"/>
          <w:lang w:val="fr-CA"/>
        </w:rPr>
        <w:t>s’il dépose un protêt en vertu de l’article</w:t>
      </w:r>
      <w:r w:rsidR="002B3107" w:rsidRPr="00CB1763">
        <w:rPr>
          <w:rFonts w:cs="Arial"/>
          <w:sz w:val="24"/>
          <w:szCs w:val="24"/>
          <w:lang w:val="fr-CA"/>
        </w:rPr>
        <w:t xml:space="preserve"> 6.2.1 </w:t>
      </w:r>
      <w:r w:rsidR="001122A0" w:rsidRPr="00CB1763">
        <w:rPr>
          <w:rFonts w:cs="Arial"/>
          <w:sz w:val="24"/>
          <w:szCs w:val="24"/>
          <w:lang w:val="fr-CA"/>
        </w:rPr>
        <w:t>et qu’il est également la personne qui reçoit les protêts en vertu de l’article</w:t>
      </w:r>
      <w:r w:rsidR="002B3107" w:rsidRPr="00CB1763">
        <w:rPr>
          <w:rFonts w:cs="Arial"/>
          <w:sz w:val="24"/>
          <w:szCs w:val="24"/>
          <w:lang w:val="fr-CA"/>
        </w:rPr>
        <w:t xml:space="preserve"> 6.2.2. </w:t>
      </w:r>
      <w:r w:rsidR="00A65AEA" w:rsidRPr="00CB1763">
        <w:rPr>
          <w:rFonts w:cs="Arial"/>
          <w:sz w:val="24"/>
          <w:szCs w:val="24"/>
          <w:lang w:val="fr-CA"/>
        </w:rPr>
        <w:t>La norme</w:t>
      </w:r>
      <w:r w:rsidR="002B3107" w:rsidRPr="00CB1763">
        <w:rPr>
          <w:rFonts w:cs="Arial"/>
          <w:sz w:val="24"/>
          <w:szCs w:val="24"/>
          <w:lang w:val="fr-CA"/>
        </w:rPr>
        <w:t xml:space="preserve"> </w:t>
      </w:r>
      <w:r w:rsidR="00427D4F" w:rsidRPr="00CB1763">
        <w:rPr>
          <w:rFonts w:cs="Arial"/>
          <w:sz w:val="24"/>
          <w:szCs w:val="24"/>
          <w:lang w:val="fr-CA"/>
        </w:rPr>
        <w:t xml:space="preserve">doit exiger du chef de la classification d’une compétition qu’il </w:t>
      </w:r>
      <w:r w:rsidR="003A3B02" w:rsidRPr="00CB1763">
        <w:rPr>
          <w:rFonts w:cs="Arial"/>
          <w:sz w:val="24"/>
          <w:szCs w:val="24"/>
          <w:lang w:val="fr-CA"/>
        </w:rPr>
        <w:t>désigne</w:t>
      </w:r>
      <w:r w:rsidR="002B3107" w:rsidRPr="00CB1763">
        <w:rPr>
          <w:rFonts w:cs="Arial"/>
          <w:sz w:val="24"/>
          <w:szCs w:val="24"/>
          <w:lang w:val="fr-CA"/>
        </w:rPr>
        <w:t xml:space="preserve"> </w:t>
      </w:r>
      <w:r w:rsidR="003A3B02" w:rsidRPr="00CB1763">
        <w:rPr>
          <w:rFonts w:cs="Arial"/>
          <w:sz w:val="24"/>
          <w:szCs w:val="24"/>
          <w:lang w:val="fr-CA"/>
        </w:rPr>
        <w:t>un autre responsable de la classification dûment qualifié pour s’acquitter des responsabilité</w:t>
      </w:r>
      <w:r w:rsidR="002B3107" w:rsidRPr="00CB1763">
        <w:rPr>
          <w:rFonts w:cs="Arial"/>
          <w:sz w:val="24"/>
          <w:szCs w:val="24"/>
          <w:lang w:val="fr-CA"/>
        </w:rPr>
        <w:t xml:space="preserve">s </w:t>
      </w:r>
      <w:r w:rsidR="003A3B02" w:rsidRPr="00CB1763">
        <w:rPr>
          <w:rFonts w:cs="Arial"/>
          <w:sz w:val="24"/>
          <w:szCs w:val="24"/>
          <w:lang w:val="fr-CA"/>
        </w:rPr>
        <w:t>du chef de la classification, advenant</w:t>
      </w:r>
      <w:r w:rsidR="002B3107" w:rsidRPr="00CB1763">
        <w:rPr>
          <w:rFonts w:cs="Arial"/>
          <w:sz w:val="24"/>
          <w:szCs w:val="24"/>
          <w:lang w:val="fr-CA"/>
        </w:rPr>
        <w:t xml:space="preserve"> </w:t>
      </w:r>
      <w:r w:rsidR="003A3B02" w:rsidRPr="00CB1763">
        <w:rPr>
          <w:rFonts w:cs="Arial"/>
          <w:sz w:val="24"/>
          <w:szCs w:val="24"/>
          <w:lang w:val="fr-CA"/>
        </w:rPr>
        <w:t xml:space="preserve">qu’il a lui-même déposé un protêt </w:t>
      </w:r>
      <w:r w:rsidR="00B83A11" w:rsidRPr="00CB1763">
        <w:rPr>
          <w:rFonts w:cs="Arial"/>
          <w:sz w:val="24"/>
          <w:szCs w:val="24"/>
          <w:lang w:val="fr-CA"/>
        </w:rPr>
        <w:t>concernant un athlète</w:t>
      </w:r>
      <w:r w:rsidRPr="00CB1763">
        <w:rPr>
          <w:rFonts w:cs="Arial"/>
          <w:sz w:val="24"/>
          <w:szCs w:val="24"/>
          <w:lang w:val="fr-CA"/>
        </w:rPr>
        <w:t>.</w:t>
      </w:r>
    </w:p>
    <w:p w:rsidR="002B3107" w:rsidRPr="00CB1763" w:rsidRDefault="002B3107" w:rsidP="003576E5">
      <w:pPr>
        <w:pStyle w:val="ListParagraph"/>
        <w:ind w:left="360" w:hanging="360"/>
        <w:rPr>
          <w:rFonts w:cs="Arial"/>
          <w:sz w:val="24"/>
          <w:szCs w:val="24"/>
          <w:lang w:val="fr-CA"/>
        </w:rPr>
      </w:pPr>
    </w:p>
    <w:p w:rsidR="002B3107" w:rsidRPr="00CB1763" w:rsidRDefault="00B47D10" w:rsidP="003576E5">
      <w:pPr>
        <w:pStyle w:val="ListParagraph"/>
        <w:numPr>
          <w:ilvl w:val="0"/>
          <w:numId w:val="8"/>
        </w:numPr>
        <w:ind w:left="360"/>
        <w:rPr>
          <w:rFonts w:cs="Arial"/>
          <w:sz w:val="24"/>
          <w:szCs w:val="24"/>
          <w:lang w:val="fr-CA"/>
        </w:rPr>
      </w:pPr>
      <w:r w:rsidRPr="00CB1763">
        <w:rPr>
          <w:rFonts w:cs="Arial"/>
          <w:sz w:val="24"/>
          <w:szCs w:val="24"/>
          <w:lang w:val="fr-CA"/>
        </w:rPr>
        <w:t>L’ACSA</w:t>
      </w:r>
      <w:r w:rsidR="002B3107" w:rsidRPr="00CB1763">
        <w:rPr>
          <w:rFonts w:cs="Arial"/>
          <w:sz w:val="24"/>
          <w:szCs w:val="24"/>
          <w:lang w:val="fr-CA"/>
        </w:rPr>
        <w:t xml:space="preserve"> </w:t>
      </w:r>
      <w:r w:rsidR="001110D4" w:rsidRPr="00CB1763">
        <w:rPr>
          <w:rFonts w:cs="Arial"/>
          <w:sz w:val="24"/>
          <w:szCs w:val="24"/>
          <w:lang w:val="fr-CA"/>
        </w:rPr>
        <w:t>est d’avis qu’en vertu de l’article</w:t>
      </w:r>
      <w:r w:rsidR="002B3107" w:rsidRPr="00CB1763">
        <w:rPr>
          <w:rFonts w:cs="Arial"/>
          <w:sz w:val="24"/>
          <w:szCs w:val="24"/>
          <w:lang w:val="fr-CA"/>
        </w:rPr>
        <w:t xml:space="preserve"> 6.2.4 </w:t>
      </w:r>
      <w:r w:rsidR="001110D4" w:rsidRPr="00CB1763">
        <w:rPr>
          <w:rFonts w:cs="Arial"/>
          <w:sz w:val="24"/>
          <w:szCs w:val="24"/>
          <w:lang w:val="fr-CA"/>
        </w:rPr>
        <w:t xml:space="preserve">de la norme, qui autorise </w:t>
      </w:r>
      <w:r w:rsidR="007378E3" w:rsidRPr="00CB1763">
        <w:rPr>
          <w:rFonts w:cs="Arial"/>
          <w:sz w:val="24"/>
          <w:szCs w:val="24"/>
          <w:lang w:val="fr-CA"/>
        </w:rPr>
        <w:t>la présentation d’autres preuves,</w:t>
      </w:r>
      <w:r w:rsidR="002B3107" w:rsidRPr="00CB1763">
        <w:rPr>
          <w:rFonts w:cs="Arial"/>
          <w:sz w:val="24"/>
          <w:szCs w:val="24"/>
          <w:lang w:val="fr-CA"/>
        </w:rPr>
        <w:t xml:space="preserve"> </w:t>
      </w:r>
      <w:r w:rsidR="007378E3" w:rsidRPr="00CB1763">
        <w:rPr>
          <w:rFonts w:cs="Arial"/>
          <w:sz w:val="24"/>
          <w:szCs w:val="24"/>
          <w:lang w:val="fr-CA"/>
        </w:rPr>
        <w:t>toute preuve vidéo</w:t>
      </w:r>
      <w:r w:rsidR="002B3107" w:rsidRPr="00CB1763">
        <w:rPr>
          <w:rFonts w:cs="Arial"/>
          <w:sz w:val="24"/>
          <w:szCs w:val="24"/>
          <w:lang w:val="fr-CA"/>
        </w:rPr>
        <w:t xml:space="preserve"> </w:t>
      </w:r>
      <w:r w:rsidR="007378E3" w:rsidRPr="00CB1763">
        <w:rPr>
          <w:rFonts w:cs="Arial"/>
          <w:sz w:val="24"/>
          <w:szCs w:val="24"/>
          <w:lang w:val="fr-CA"/>
        </w:rPr>
        <w:t>autre que celle produite pendant le processus de classification</w:t>
      </w:r>
      <w:r w:rsidR="002B3107" w:rsidRPr="00CB1763">
        <w:rPr>
          <w:rFonts w:cs="Arial"/>
          <w:sz w:val="24"/>
          <w:szCs w:val="24"/>
          <w:lang w:val="fr-CA"/>
        </w:rPr>
        <w:t xml:space="preserve"> </w:t>
      </w:r>
      <w:r w:rsidR="007378E3" w:rsidRPr="00CB1763">
        <w:rPr>
          <w:rFonts w:cs="Arial"/>
          <w:sz w:val="24"/>
          <w:szCs w:val="24"/>
          <w:lang w:val="fr-CA"/>
        </w:rPr>
        <w:t>et toute preuve provenant de médias sociaux</w:t>
      </w:r>
      <w:r w:rsidR="002B3107" w:rsidRPr="00CB1763">
        <w:rPr>
          <w:rFonts w:cs="Arial"/>
          <w:sz w:val="24"/>
          <w:szCs w:val="24"/>
          <w:lang w:val="fr-CA"/>
        </w:rPr>
        <w:t xml:space="preserve"> </w:t>
      </w:r>
      <w:r w:rsidR="007378E3" w:rsidRPr="00CB1763">
        <w:rPr>
          <w:rFonts w:cs="Arial"/>
          <w:sz w:val="24"/>
          <w:szCs w:val="24"/>
          <w:lang w:val="fr-CA"/>
        </w:rPr>
        <w:t>devrait être admise, en cas de protêt ou d’appel, uniquement</w:t>
      </w:r>
      <w:r w:rsidR="002B3107" w:rsidRPr="00CB1763">
        <w:rPr>
          <w:rFonts w:cs="Arial"/>
          <w:sz w:val="24"/>
          <w:szCs w:val="24"/>
          <w:lang w:val="fr-CA"/>
        </w:rPr>
        <w:t xml:space="preserve"> </w:t>
      </w:r>
      <w:r w:rsidR="007378E3" w:rsidRPr="00CB1763">
        <w:rPr>
          <w:rFonts w:cs="Arial"/>
          <w:sz w:val="24"/>
          <w:szCs w:val="24"/>
          <w:lang w:val="fr-CA"/>
        </w:rPr>
        <w:t>en l’absence du jury appelé à se prononcer.</w:t>
      </w:r>
      <w:r w:rsidR="002B3107" w:rsidRPr="00CB1763">
        <w:rPr>
          <w:rFonts w:cs="Arial"/>
          <w:sz w:val="24"/>
          <w:szCs w:val="24"/>
          <w:lang w:val="fr-CA"/>
        </w:rPr>
        <w:t xml:space="preserve"> </w:t>
      </w:r>
      <w:r w:rsidR="007378E3" w:rsidRPr="00CB1763">
        <w:rPr>
          <w:rFonts w:cs="Arial"/>
          <w:sz w:val="24"/>
          <w:szCs w:val="24"/>
          <w:lang w:val="fr-CA"/>
        </w:rPr>
        <w:t>De cette façon,</w:t>
      </w:r>
      <w:r w:rsidR="002B3107" w:rsidRPr="00CB1763">
        <w:rPr>
          <w:rFonts w:cs="Arial"/>
          <w:sz w:val="24"/>
          <w:szCs w:val="24"/>
          <w:lang w:val="fr-CA"/>
        </w:rPr>
        <w:t xml:space="preserve"> </w:t>
      </w:r>
      <w:r w:rsidR="007378E3" w:rsidRPr="00CB1763">
        <w:rPr>
          <w:rFonts w:cs="Arial"/>
          <w:sz w:val="24"/>
          <w:szCs w:val="24"/>
          <w:lang w:val="fr-CA"/>
        </w:rPr>
        <w:t>la partie adverse aura l’occasion de contester la fiabilité, l’importance relative ou l’</w:t>
      </w:r>
      <w:r w:rsidR="00CB02BC" w:rsidRPr="00CB1763">
        <w:rPr>
          <w:rFonts w:cs="Arial"/>
          <w:sz w:val="24"/>
          <w:szCs w:val="24"/>
          <w:lang w:val="fr-CA"/>
        </w:rPr>
        <w:t>admissibilité de cette preuve avant qu’elle soit examinée par le jury.</w:t>
      </w:r>
      <w:r w:rsidR="002B3107" w:rsidRPr="00CB1763">
        <w:rPr>
          <w:rFonts w:cs="Arial"/>
          <w:sz w:val="24"/>
          <w:szCs w:val="24"/>
          <w:lang w:val="fr-CA"/>
        </w:rPr>
        <w:t xml:space="preserve"> </w:t>
      </w:r>
      <w:r w:rsidR="00CB02BC" w:rsidRPr="00CB1763">
        <w:rPr>
          <w:rFonts w:cs="Arial"/>
          <w:sz w:val="24"/>
          <w:szCs w:val="24"/>
          <w:lang w:val="fr-CA"/>
        </w:rPr>
        <w:t>Dans certaines circonstances, les parties pourraient faire appel à une preuve d’expert</w:t>
      </w:r>
      <w:r w:rsidR="002B3107" w:rsidRPr="00CB1763">
        <w:rPr>
          <w:rFonts w:cs="Arial"/>
          <w:sz w:val="24"/>
          <w:szCs w:val="24"/>
          <w:lang w:val="fr-CA"/>
        </w:rPr>
        <w:t xml:space="preserve"> </w:t>
      </w:r>
      <w:r w:rsidR="00CB02BC" w:rsidRPr="00CB1763">
        <w:rPr>
          <w:rFonts w:cs="Arial"/>
          <w:sz w:val="24"/>
          <w:szCs w:val="24"/>
          <w:lang w:val="fr-CA"/>
        </w:rPr>
        <w:t>sur l’admissibilité</w:t>
      </w:r>
      <w:r w:rsidR="002B3107" w:rsidRPr="00CB1763">
        <w:rPr>
          <w:rFonts w:cs="Arial"/>
          <w:sz w:val="24"/>
          <w:szCs w:val="24"/>
          <w:lang w:val="fr-CA"/>
        </w:rPr>
        <w:t xml:space="preserve"> </w:t>
      </w:r>
      <w:r w:rsidR="00CB02BC" w:rsidRPr="00CB1763">
        <w:rPr>
          <w:rFonts w:cs="Arial"/>
          <w:sz w:val="24"/>
          <w:szCs w:val="24"/>
          <w:lang w:val="fr-CA"/>
        </w:rPr>
        <w:t>d’une vidé</w:t>
      </w:r>
      <w:r w:rsidR="002B3107" w:rsidRPr="00CB1763">
        <w:rPr>
          <w:rFonts w:cs="Arial"/>
          <w:sz w:val="24"/>
          <w:szCs w:val="24"/>
          <w:lang w:val="fr-CA"/>
        </w:rPr>
        <w:t xml:space="preserve">o </w:t>
      </w:r>
      <w:r w:rsidR="00CB02BC" w:rsidRPr="00CB1763">
        <w:rPr>
          <w:rFonts w:cs="Arial"/>
          <w:sz w:val="24"/>
          <w:szCs w:val="24"/>
          <w:lang w:val="fr-CA"/>
        </w:rPr>
        <w:t>ou autre preuve photographique, si l’on soupçonne qu’il aurait pu y avoir falsification</w:t>
      </w:r>
      <w:r w:rsidR="00693584" w:rsidRPr="00CB1763">
        <w:rPr>
          <w:rFonts w:cs="Arial"/>
          <w:sz w:val="24"/>
          <w:szCs w:val="24"/>
          <w:lang w:val="fr-CA"/>
        </w:rPr>
        <w:t xml:space="preserve"> (fréquence de trames, angle de prise de vues, etc.).</w:t>
      </w:r>
      <w:r w:rsidR="002B3107" w:rsidRPr="00CB1763">
        <w:rPr>
          <w:rFonts w:cs="Arial"/>
          <w:sz w:val="24"/>
          <w:szCs w:val="24"/>
          <w:lang w:val="fr-CA"/>
        </w:rPr>
        <w:t xml:space="preserve"> </w:t>
      </w:r>
      <w:r w:rsidR="00FB2387" w:rsidRPr="00CB1763">
        <w:rPr>
          <w:rFonts w:cs="Arial"/>
          <w:sz w:val="24"/>
          <w:szCs w:val="24"/>
          <w:lang w:val="fr-CA"/>
        </w:rPr>
        <w:t>Le Comité lui-même pourrait devoir solliciter l’avis d’un expert sur ces questions avant</w:t>
      </w:r>
      <w:r w:rsidR="002B3107" w:rsidRPr="00CB1763">
        <w:rPr>
          <w:rFonts w:cs="Arial"/>
          <w:sz w:val="24"/>
          <w:szCs w:val="24"/>
          <w:lang w:val="fr-CA"/>
        </w:rPr>
        <w:t xml:space="preserve"> </w:t>
      </w:r>
      <w:r w:rsidR="00FB2387" w:rsidRPr="00CB1763">
        <w:rPr>
          <w:rFonts w:cs="Arial"/>
          <w:sz w:val="24"/>
          <w:szCs w:val="24"/>
          <w:lang w:val="fr-CA"/>
        </w:rPr>
        <w:t>d’accepter ce type de preuve lorsqu’il y a protêt ou appel.</w:t>
      </w:r>
    </w:p>
    <w:p w:rsidR="002B3107" w:rsidRPr="00CB1763" w:rsidRDefault="002B3107" w:rsidP="002B3107">
      <w:pPr>
        <w:pStyle w:val="ListParagraph"/>
        <w:rPr>
          <w:rFonts w:cs="Arial"/>
          <w:sz w:val="24"/>
          <w:szCs w:val="24"/>
          <w:lang w:val="fr-CA"/>
        </w:rPr>
      </w:pPr>
    </w:p>
    <w:p w:rsidR="002B3107" w:rsidRPr="00CB1763" w:rsidRDefault="00FB2387" w:rsidP="003576E5">
      <w:pPr>
        <w:pStyle w:val="ListParagraph"/>
        <w:numPr>
          <w:ilvl w:val="0"/>
          <w:numId w:val="8"/>
        </w:numPr>
        <w:ind w:left="360"/>
        <w:rPr>
          <w:rFonts w:cs="Arial"/>
          <w:sz w:val="24"/>
          <w:szCs w:val="24"/>
          <w:lang w:val="fr-CA"/>
        </w:rPr>
      </w:pPr>
      <w:r w:rsidRPr="00CB1763">
        <w:rPr>
          <w:rFonts w:cs="Arial"/>
          <w:sz w:val="24"/>
          <w:szCs w:val="24"/>
          <w:lang w:val="fr-CA"/>
        </w:rPr>
        <w:t xml:space="preserve">La </w:t>
      </w:r>
      <w:r w:rsidR="002B3107" w:rsidRPr="00CB1763">
        <w:rPr>
          <w:rFonts w:cs="Arial"/>
          <w:sz w:val="24"/>
          <w:szCs w:val="24"/>
          <w:lang w:val="fr-CA"/>
        </w:rPr>
        <w:t xml:space="preserve">Section 6.3.3 </w:t>
      </w:r>
      <w:r w:rsidRPr="00CB1763">
        <w:rPr>
          <w:rFonts w:cs="Arial"/>
          <w:sz w:val="24"/>
          <w:szCs w:val="24"/>
          <w:lang w:val="fr-CA"/>
        </w:rPr>
        <w:t xml:space="preserve">de la norme devrait </w:t>
      </w:r>
      <w:r w:rsidR="00B72B3F" w:rsidRPr="00CB1763">
        <w:rPr>
          <w:rFonts w:cs="Arial"/>
          <w:sz w:val="24"/>
          <w:szCs w:val="24"/>
          <w:lang w:val="fr-CA"/>
        </w:rPr>
        <w:t>être modifiée</w:t>
      </w:r>
      <w:r w:rsidR="002B3107" w:rsidRPr="00CB1763">
        <w:rPr>
          <w:rFonts w:cs="Arial"/>
          <w:sz w:val="24"/>
          <w:szCs w:val="24"/>
          <w:lang w:val="fr-CA"/>
        </w:rPr>
        <w:t xml:space="preserve"> </w:t>
      </w:r>
      <w:r w:rsidR="00B72B3F" w:rsidRPr="00CB1763">
        <w:rPr>
          <w:rFonts w:cs="Arial"/>
          <w:sz w:val="24"/>
          <w:szCs w:val="24"/>
          <w:lang w:val="fr-CA"/>
        </w:rPr>
        <w:t>afin d’autoriser le jury à recevoir l’ensemble de la preuve</w:t>
      </w:r>
      <w:r w:rsidR="002B3107" w:rsidRPr="00CB1763">
        <w:rPr>
          <w:rFonts w:cs="Arial"/>
          <w:sz w:val="24"/>
          <w:szCs w:val="24"/>
          <w:lang w:val="fr-CA"/>
        </w:rPr>
        <w:t xml:space="preserve"> </w:t>
      </w:r>
      <w:r w:rsidR="00B72B3F" w:rsidRPr="00CB1763">
        <w:rPr>
          <w:rFonts w:cs="Arial"/>
          <w:sz w:val="24"/>
          <w:szCs w:val="24"/>
          <w:lang w:val="fr-CA"/>
        </w:rPr>
        <w:t>fournie en cas de protêt,</w:t>
      </w:r>
      <w:r w:rsidR="002B3107" w:rsidRPr="00CB1763">
        <w:rPr>
          <w:rFonts w:cs="Arial"/>
          <w:sz w:val="24"/>
          <w:szCs w:val="24"/>
          <w:lang w:val="fr-CA"/>
        </w:rPr>
        <w:t xml:space="preserve"> </w:t>
      </w:r>
      <w:r w:rsidR="00883E18" w:rsidRPr="00CB1763">
        <w:rPr>
          <w:rFonts w:cs="Arial"/>
          <w:sz w:val="24"/>
          <w:szCs w:val="24"/>
          <w:lang w:val="fr-CA"/>
        </w:rPr>
        <w:t>tout en gardant en tête les commentaires formulés par l’ACSA concernant la</w:t>
      </w:r>
      <w:r w:rsidR="002B3107" w:rsidRPr="00CB1763">
        <w:rPr>
          <w:rFonts w:cs="Arial"/>
          <w:sz w:val="24"/>
          <w:szCs w:val="24"/>
          <w:lang w:val="fr-CA"/>
        </w:rPr>
        <w:t xml:space="preserve"> section 6.2.4 </w:t>
      </w:r>
      <w:r w:rsidR="00883E18" w:rsidRPr="00CB1763">
        <w:rPr>
          <w:rFonts w:cs="Arial"/>
          <w:sz w:val="24"/>
          <w:szCs w:val="24"/>
          <w:lang w:val="fr-CA"/>
        </w:rPr>
        <w:t>ci-dessus</w:t>
      </w:r>
      <w:r w:rsidR="002B3107" w:rsidRPr="00CB1763">
        <w:rPr>
          <w:rFonts w:cs="Arial"/>
          <w:sz w:val="24"/>
          <w:szCs w:val="24"/>
          <w:lang w:val="fr-CA"/>
        </w:rPr>
        <w:t>.</w:t>
      </w:r>
    </w:p>
    <w:p w:rsidR="002B3107" w:rsidRPr="00CB1763" w:rsidRDefault="002B3107" w:rsidP="003576E5">
      <w:pPr>
        <w:pStyle w:val="ListParagraph"/>
        <w:ind w:left="360" w:hanging="360"/>
        <w:rPr>
          <w:rFonts w:cs="Arial"/>
          <w:sz w:val="24"/>
          <w:szCs w:val="24"/>
          <w:lang w:val="fr-CA"/>
        </w:rPr>
      </w:pPr>
    </w:p>
    <w:p w:rsidR="002B3107" w:rsidRPr="00CB1763" w:rsidRDefault="00E702C9" w:rsidP="003576E5">
      <w:pPr>
        <w:pStyle w:val="ListParagraph"/>
        <w:numPr>
          <w:ilvl w:val="0"/>
          <w:numId w:val="8"/>
        </w:numPr>
        <w:ind w:left="360"/>
        <w:rPr>
          <w:rFonts w:cs="Arial"/>
          <w:sz w:val="24"/>
          <w:szCs w:val="24"/>
          <w:lang w:val="fr-CA"/>
        </w:rPr>
      </w:pPr>
      <w:r w:rsidRPr="00CB1763">
        <w:rPr>
          <w:rFonts w:cs="Arial"/>
          <w:sz w:val="24"/>
          <w:szCs w:val="24"/>
          <w:lang w:val="fr-CA"/>
        </w:rPr>
        <w:t xml:space="preserve">La </w:t>
      </w:r>
      <w:r w:rsidR="002B3107" w:rsidRPr="00CB1763">
        <w:rPr>
          <w:rFonts w:cs="Arial"/>
          <w:sz w:val="24"/>
          <w:szCs w:val="24"/>
          <w:lang w:val="fr-CA"/>
        </w:rPr>
        <w:t xml:space="preserve">Section 6.3.4 </w:t>
      </w:r>
      <w:r w:rsidRPr="00CB1763">
        <w:rPr>
          <w:rFonts w:cs="Arial"/>
          <w:sz w:val="24"/>
          <w:szCs w:val="24"/>
          <w:lang w:val="fr-CA"/>
        </w:rPr>
        <w:t>de cette norme pose également problème</w:t>
      </w:r>
      <w:r w:rsidR="00B72B3F" w:rsidRPr="00CB1763">
        <w:rPr>
          <w:rFonts w:cs="Arial"/>
          <w:sz w:val="24"/>
          <w:szCs w:val="24"/>
          <w:lang w:val="fr-CA"/>
        </w:rPr>
        <w:t>.</w:t>
      </w:r>
      <w:r w:rsidR="002B3107" w:rsidRPr="00CB1763">
        <w:rPr>
          <w:rFonts w:cs="Arial"/>
          <w:sz w:val="24"/>
          <w:szCs w:val="24"/>
          <w:lang w:val="fr-CA"/>
        </w:rPr>
        <w:t xml:space="preserve"> </w:t>
      </w:r>
      <w:r w:rsidR="00A61122" w:rsidRPr="00CB1763">
        <w:rPr>
          <w:rFonts w:cs="Arial"/>
          <w:sz w:val="24"/>
          <w:szCs w:val="24"/>
          <w:lang w:val="fr-CA"/>
        </w:rPr>
        <w:t>Même si le jury doit avoir la possibilité de consulter des experts en médecine ou en sport avant de se prononcer en cas de protêt, l</w:t>
      </w:r>
      <w:r w:rsidR="002B3107" w:rsidRPr="00CB1763">
        <w:rPr>
          <w:rFonts w:cs="Arial"/>
          <w:sz w:val="24"/>
          <w:szCs w:val="24"/>
          <w:lang w:val="fr-CA"/>
        </w:rPr>
        <w:t>e</w:t>
      </w:r>
      <w:r w:rsidR="00A61122" w:rsidRPr="00CB1763">
        <w:rPr>
          <w:rFonts w:cs="Arial"/>
          <w:sz w:val="24"/>
          <w:szCs w:val="24"/>
          <w:lang w:val="fr-CA"/>
        </w:rPr>
        <w:t>s</w:t>
      </w:r>
      <w:r w:rsidR="002B3107" w:rsidRPr="00CB1763">
        <w:rPr>
          <w:rFonts w:cs="Arial"/>
          <w:sz w:val="24"/>
          <w:szCs w:val="24"/>
          <w:lang w:val="fr-CA"/>
        </w:rPr>
        <w:t xml:space="preserve"> parties </w:t>
      </w:r>
      <w:r w:rsidR="00A61122" w:rsidRPr="00CB1763">
        <w:rPr>
          <w:rFonts w:cs="Arial"/>
          <w:sz w:val="24"/>
          <w:szCs w:val="24"/>
          <w:lang w:val="fr-CA"/>
        </w:rPr>
        <w:t>devraient également avoir l’occasion de poser des</w:t>
      </w:r>
      <w:r w:rsidR="002B3107" w:rsidRPr="00CB1763">
        <w:rPr>
          <w:rFonts w:cs="Arial"/>
          <w:sz w:val="24"/>
          <w:szCs w:val="24"/>
          <w:lang w:val="fr-CA"/>
        </w:rPr>
        <w:t xml:space="preserve"> questions </w:t>
      </w:r>
      <w:r w:rsidR="00A61122" w:rsidRPr="00CB1763">
        <w:rPr>
          <w:rFonts w:cs="Arial"/>
          <w:sz w:val="24"/>
          <w:szCs w:val="24"/>
          <w:lang w:val="fr-CA"/>
        </w:rPr>
        <w:t>aux experts et</w:t>
      </w:r>
      <w:r w:rsidR="00057B2F">
        <w:rPr>
          <w:rFonts w:cs="Arial"/>
          <w:sz w:val="24"/>
          <w:szCs w:val="24"/>
          <w:lang w:val="fr-CA"/>
        </w:rPr>
        <w:t>,</w:t>
      </w:r>
      <w:r w:rsidR="00A61122" w:rsidRPr="00CB1763">
        <w:rPr>
          <w:rFonts w:cs="Arial"/>
          <w:sz w:val="24"/>
          <w:szCs w:val="24"/>
          <w:lang w:val="fr-CA"/>
        </w:rPr>
        <w:t xml:space="preserve"> </w:t>
      </w:r>
      <w:r w:rsidR="0083526E" w:rsidRPr="00CB1763">
        <w:rPr>
          <w:rFonts w:cs="Arial"/>
          <w:sz w:val="24"/>
          <w:szCs w:val="24"/>
          <w:lang w:val="fr-CA"/>
        </w:rPr>
        <w:t>s’</w:t>
      </w:r>
      <w:r w:rsidR="003C4C77" w:rsidRPr="00CB1763">
        <w:rPr>
          <w:rFonts w:cs="Arial"/>
          <w:sz w:val="24"/>
          <w:szCs w:val="24"/>
          <w:lang w:val="fr-CA"/>
        </w:rPr>
        <w:t>il y a lieu</w:t>
      </w:r>
      <w:r w:rsidR="00057B2F">
        <w:rPr>
          <w:rFonts w:cs="Arial"/>
          <w:sz w:val="24"/>
          <w:szCs w:val="24"/>
          <w:lang w:val="fr-CA"/>
        </w:rPr>
        <w:t>,</w:t>
      </w:r>
      <w:r w:rsidR="003C4C77" w:rsidRPr="00CB1763">
        <w:rPr>
          <w:rFonts w:cs="Arial"/>
          <w:sz w:val="24"/>
          <w:szCs w:val="24"/>
          <w:lang w:val="fr-CA"/>
        </w:rPr>
        <w:t xml:space="preserve"> de mettre en doute les compétences de ces derniers en la matière</w:t>
      </w:r>
      <w:r w:rsidR="000C6349" w:rsidRPr="00CB1763">
        <w:rPr>
          <w:rFonts w:cs="Arial"/>
          <w:sz w:val="24"/>
          <w:szCs w:val="24"/>
          <w:lang w:val="fr-CA"/>
        </w:rPr>
        <w:t xml:space="preserve">. </w:t>
      </w:r>
      <w:r w:rsidR="006257E2" w:rsidRPr="00CB1763">
        <w:rPr>
          <w:rFonts w:cs="Arial"/>
          <w:sz w:val="24"/>
          <w:szCs w:val="24"/>
          <w:lang w:val="fr-CA"/>
        </w:rPr>
        <w:t>Un expert se doit d’être juste,</w:t>
      </w:r>
      <w:r w:rsidR="002B3107" w:rsidRPr="00CB1763">
        <w:rPr>
          <w:rFonts w:cs="Arial"/>
          <w:sz w:val="24"/>
          <w:szCs w:val="24"/>
          <w:lang w:val="fr-CA"/>
        </w:rPr>
        <w:t xml:space="preserve"> impartial </w:t>
      </w:r>
      <w:r w:rsidR="006257E2" w:rsidRPr="00CB1763">
        <w:rPr>
          <w:rFonts w:cs="Arial"/>
          <w:sz w:val="24"/>
          <w:szCs w:val="24"/>
          <w:lang w:val="fr-CA"/>
        </w:rPr>
        <w:t>et qualifié pour être en mesure d’exprimer une opinion</w:t>
      </w:r>
      <w:r w:rsidR="000C6349" w:rsidRPr="00CB1763">
        <w:rPr>
          <w:rFonts w:cs="Arial"/>
          <w:sz w:val="24"/>
          <w:szCs w:val="24"/>
          <w:lang w:val="fr-CA"/>
        </w:rPr>
        <w:t>.</w:t>
      </w:r>
      <w:r w:rsidR="005E7DDB" w:rsidRPr="00CB1763">
        <w:rPr>
          <w:rFonts w:cs="Arial"/>
          <w:sz w:val="24"/>
          <w:szCs w:val="24"/>
          <w:lang w:val="fr-CA"/>
        </w:rPr>
        <w:t xml:space="preserve"> Il ne doit jamais intervenir en faveur d’un athlète en particulier ou d’un pays, ni chercher à mousser ses propres intérêts professionnels</w:t>
      </w:r>
      <w:r w:rsidR="000C6349" w:rsidRPr="00CB1763">
        <w:rPr>
          <w:rFonts w:cs="Arial"/>
          <w:sz w:val="24"/>
          <w:szCs w:val="24"/>
          <w:lang w:val="fr-CA"/>
        </w:rPr>
        <w:t>.</w:t>
      </w:r>
      <w:r w:rsidR="002B3107" w:rsidRPr="00CB1763">
        <w:rPr>
          <w:rFonts w:cs="Arial"/>
          <w:sz w:val="24"/>
          <w:szCs w:val="24"/>
          <w:lang w:val="fr-CA"/>
        </w:rPr>
        <w:t xml:space="preserve"> </w:t>
      </w:r>
      <w:r w:rsidR="003C5BB2" w:rsidRPr="00CB1763">
        <w:rPr>
          <w:rFonts w:cs="Arial"/>
          <w:sz w:val="24"/>
          <w:szCs w:val="24"/>
          <w:lang w:val="fr-CA"/>
        </w:rPr>
        <w:t>Il faut se rappeler aussi qu’un athlète ou un membre du personnel</w:t>
      </w:r>
      <w:r w:rsidR="002B3107" w:rsidRPr="00CB1763">
        <w:rPr>
          <w:rFonts w:cs="Arial"/>
          <w:sz w:val="24"/>
          <w:szCs w:val="24"/>
          <w:lang w:val="fr-CA"/>
        </w:rPr>
        <w:t xml:space="preserve"> </w:t>
      </w:r>
      <w:r w:rsidR="003C5BB2" w:rsidRPr="00CB1763">
        <w:rPr>
          <w:rFonts w:cs="Arial"/>
          <w:sz w:val="24"/>
          <w:szCs w:val="24"/>
          <w:lang w:val="fr-CA"/>
        </w:rPr>
        <w:t>n’est pas autorisé à</w:t>
      </w:r>
      <w:r w:rsidR="002B3107" w:rsidRPr="00CB1763">
        <w:rPr>
          <w:rFonts w:cs="Arial"/>
          <w:sz w:val="24"/>
          <w:szCs w:val="24"/>
          <w:lang w:val="fr-CA"/>
        </w:rPr>
        <w:t xml:space="preserve"> </w:t>
      </w:r>
      <w:r w:rsidR="003C5BB2" w:rsidRPr="00CB1763">
        <w:rPr>
          <w:rFonts w:cs="Arial"/>
          <w:sz w:val="24"/>
          <w:szCs w:val="24"/>
          <w:lang w:val="fr-CA"/>
        </w:rPr>
        <w:t xml:space="preserve">remettre en question la présence d’un responsable de la </w:t>
      </w:r>
      <w:r w:rsidR="003C5BB2" w:rsidRPr="00CB1763">
        <w:rPr>
          <w:rFonts w:cs="Arial"/>
          <w:sz w:val="24"/>
          <w:szCs w:val="24"/>
          <w:lang w:val="fr-CA"/>
        </w:rPr>
        <w:lastRenderedPageBreak/>
        <w:t>classification sur un jury</w:t>
      </w:r>
      <w:r w:rsidR="00057B2F">
        <w:rPr>
          <w:rFonts w:cs="Arial"/>
          <w:sz w:val="24"/>
          <w:szCs w:val="24"/>
          <w:lang w:val="fr-CA"/>
        </w:rPr>
        <w:t xml:space="preserve"> – s</w:t>
      </w:r>
      <w:r w:rsidR="003C5BB2" w:rsidRPr="00CB1763">
        <w:rPr>
          <w:rFonts w:cs="Arial"/>
          <w:sz w:val="24"/>
          <w:szCs w:val="24"/>
          <w:lang w:val="fr-CA"/>
        </w:rPr>
        <w:t>eulement celle des experts sollicités pour lui venir en aide au moment de prendre une décision</w:t>
      </w:r>
      <w:r w:rsidR="002B3107" w:rsidRPr="00CB1763">
        <w:rPr>
          <w:rFonts w:cs="Arial"/>
          <w:sz w:val="24"/>
          <w:szCs w:val="24"/>
          <w:lang w:val="fr-CA"/>
        </w:rPr>
        <w:t>.</w:t>
      </w:r>
    </w:p>
    <w:p w:rsidR="002B3107" w:rsidRPr="00CB1763" w:rsidRDefault="00B47D10" w:rsidP="002B3107">
      <w:pPr>
        <w:pStyle w:val="Heading2"/>
        <w:numPr>
          <w:ilvl w:val="0"/>
          <w:numId w:val="11"/>
        </w:numPr>
        <w:rPr>
          <w:lang w:val="fr-CA"/>
        </w:rPr>
      </w:pPr>
      <w:bookmarkStart w:id="31" w:name="_Toc368318363"/>
      <w:r w:rsidRPr="00CB1763">
        <w:rPr>
          <w:lang w:val="fr-CA"/>
        </w:rPr>
        <w:t>Dispositions manquantes</w:t>
      </w:r>
      <w:bookmarkEnd w:id="31"/>
    </w:p>
    <w:p w:rsidR="002B3107" w:rsidRPr="00CB1763" w:rsidRDefault="002B3107" w:rsidP="002B3107">
      <w:pPr>
        <w:pStyle w:val="ListParagraph"/>
        <w:rPr>
          <w:rFonts w:cs="Arial"/>
          <w:sz w:val="24"/>
          <w:szCs w:val="24"/>
          <w:lang w:val="fr-CA"/>
        </w:rPr>
      </w:pPr>
    </w:p>
    <w:p w:rsidR="002B3107" w:rsidRPr="00CB1763" w:rsidRDefault="00B47D10" w:rsidP="003576E5">
      <w:pPr>
        <w:pStyle w:val="ListParagraph"/>
        <w:numPr>
          <w:ilvl w:val="0"/>
          <w:numId w:val="8"/>
        </w:numPr>
        <w:ind w:left="360"/>
        <w:rPr>
          <w:rFonts w:cs="Arial"/>
          <w:sz w:val="24"/>
          <w:szCs w:val="24"/>
          <w:lang w:val="fr-CA"/>
        </w:rPr>
      </w:pPr>
      <w:r w:rsidRPr="00CB1763">
        <w:rPr>
          <w:rFonts w:cs="Arial"/>
          <w:sz w:val="24"/>
          <w:szCs w:val="24"/>
          <w:lang w:val="fr-CA"/>
        </w:rPr>
        <w:t>L’ACSA</w:t>
      </w:r>
      <w:r w:rsidR="002B3107" w:rsidRPr="00CB1763">
        <w:rPr>
          <w:rFonts w:cs="Arial"/>
          <w:sz w:val="24"/>
          <w:szCs w:val="24"/>
          <w:lang w:val="fr-CA"/>
        </w:rPr>
        <w:t xml:space="preserve"> </w:t>
      </w:r>
      <w:r w:rsidR="00797735" w:rsidRPr="00CB1763">
        <w:rPr>
          <w:rFonts w:cs="Arial"/>
          <w:sz w:val="24"/>
          <w:szCs w:val="24"/>
          <w:lang w:val="fr-CA"/>
        </w:rPr>
        <w:t>s’interroge</w:t>
      </w:r>
      <w:r w:rsidR="00684426" w:rsidRPr="00CB1763">
        <w:rPr>
          <w:rFonts w:cs="Arial"/>
          <w:sz w:val="24"/>
          <w:szCs w:val="24"/>
          <w:lang w:val="fr-CA"/>
        </w:rPr>
        <w:t xml:space="preserve"> sur le fait que</w:t>
      </w:r>
      <w:r w:rsidR="002B3107" w:rsidRPr="00CB1763">
        <w:rPr>
          <w:rFonts w:cs="Arial"/>
          <w:sz w:val="24"/>
          <w:szCs w:val="24"/>
          <w:lang w:val="fr-CA"/>
        </w:rPr>
        <w:t xml:space="preserve"> </w:t>
      </w:r>
      <w:r w:rsidR="00684426" w:rsidRPr="00CB1763">
        <w:rPr>
          <w:rFonts w:cs="Arial"/>
          <w:sz w:val="24"/>
          <w:szCs w:val="24"/>
          <w:lang w:val="fr-CA"/>
        </w:rPr>
        <w:t xml:space="preserve">cette norme </w:t>
      </w:r>
      <w:r w:rsidR="006E5086" w:rsidRPr="00CB1763">
        <w:rPr>
          <w:rFonts w:cs="Arial"/>
          <w:sz w:val="24"/>
          <w:szCs w:val="24"/>
          <w:lang w:val="fr-CA"/>
        </w:rPr>
        <w:t xml:space="preserve">ne donne aucune précision sur le fardeau de la preuve en matière de protêt, permettant de déterminer laquelle des parties </w:t>
      </w:r>
      <w:r w:rsidR="00F36070" w:rsidRPr="00CB1763">
        <w:rPr>
          <w:rFonts w:cs="Arial"/>
          <w:sz w:val="24"/>
          <w:szCs w:val="24"/>
          <w:lang w:val="fr-CA"/>
        </w:rPr>
        <w:t>pourrait</w:t>
      </w:r>
      <w:r w:rsidR="006E5086" w:rsidRPr="00CB1763">
        <w:rPr>
          <w:rFonts w:cs="Arial"/>
          <w:sz w:val="24"/>
          <w:szCs w:val="24"/>
          <w:lang w:val="fr-CA"/>
        </w:rPr>
        <w:t xml:space="preserve"> l’emporter</w:t>
      </w:r>
      <w:r w:rsidR="00797735" w:rsidRPr="00CB1763">
        <w:rPr>
          <w:rFonts w:cs="Arial"/>
          <w:sz w:val="24"/>
          <w:szCs w:val="24"/>
          <w:lang w:val="fr-CA"/>
        </w:rPr>
        <w:t xml:space="preserve">. </w:t>
      </w:r>
      <w:r w:rsidR="00F36070" w:rsidRPr="00CB1763">
        <w:rPr>
          <w:rFonts w:cs="Arial"/>
          <w:sz w:val="24"/>
          <w:szCs w:val="24"/>
          <w:lang w:val="fr-CA"/>
        </w:rPr>
        <w:t>Il existe deux écoles de pensée</w:t>
      </w:r>
      <w:r w:rsidR="002B3107" w:rsidRPr="00CB1763">
        <w:rPr>
          <w:rFonts w:cs="Arial"/>
          <w:sz w:val="24"/>
          <w:szCs w:val="24"/>
          <w:lang w:val="fr-CA"/>
        </w:rPr>
        <w:t xml:space="preserve"> </w:t>
      </w:r>
      <w:r w:rsidR="00DD3C68" w:rsidRPr="00CB1763">
        <w:rPr>
          <w:rFonts w:cs="Arial"/>
          <w:sz w:val="24"/>
          <w:szCs w:val="24"/>
          <w:lang w:val="fr-CA"/>
        </w:rPr>
        <w:t xml:space="preserve">à cet égard </w:t>
      </w:r>
      <w:r w:rsidR="00F36070" w:rsidRPr="00CB1763">
        <w:rPr>
          <w:rFonts w:cs="Arial"/>
          <w:sz w:val="24"/>
          <w:szCs w:val="24"/>
          <w:lang w:val="fr-CA"/>
        </w:rPr>
        <w:t>et l’ACSA y réfléchit toujours</w:t>
      </w:r>
      <w:r w:rsidR="00797735" w:rsidRPr="00CB1763">
        <w:rPr>
          <w:rFonts w:cs="Arial"/>
          <w:sz w:val="24"/>
          <w:szCs w:val="24"/>
          <w:lang w:val="fr-CA"/>
        </w:rPr>
        <w:t>.</w:t>
      </w:r>
      <w:r w:rsidR="002B3107" w:rsidRPr="00CB1763">
        <w:rPr>
          <w:rFonts w:cs="Arial"/>
          <w:sz w:val="24"/>
          <w:szCs w:val="24"/>
          <w:lang w:val="fr-CA"/>
        </w:rPr>
        <w:t xml:space="preserve"> </w:t>
      </w:r>
      <w:r w:rsidR="00F36070" w:rsidRPr="00CB1763">
        <w:rPr>
          <w:rFonts w:cs="Arial"/>
          <w:sz w:val="24"/>
          <w:szCs w:val="24"/>
          <w:lang w:val="fr-CA"/>
        </w:rPr>
        <w:t>La première</w:t>
      </w:r>
      <w:r w:rsidR="002B3107" w:rsidRPr="00CB1763">
        <w:rPr>
          <w:rFonts w:cs="Arial"/>
          <w:sz w:val="24"/>
          <w:szCs w:val="24"/>
          <w:lang w:val="fr-CA"/>
        </w:rPr>
        <w:t xml:space="preserve"> </w:t>
      </w:r>
      <w:r w:rsidR="00F67097" w:rsidRPr="00CB1763">
        <w:rPr>
          <w:rFonts w:cs="Arial"/>
          <w:sz w:val="24"/>
          <w:szCs w:val="24"/>
          <w:lang w:val="fr-CA"/>
        </w:rPr>
        <w:t>affirme qu’un protêt en matière de classification</w:t>
      </w:r>
      <w:r w:rsidR="002B3107" w:rsidRPr="00CB1763">
        <w:rPr>
          <w:rFonts w:cs="Arial"/>
          <w:sz w:val="24"/>
          <w:szCs w:val="24"/>
          <w:lang w:val="fr-CA"/>
        </w:rPr>
        <w:t xml:space="preserve"> </w:t>
      </w:r>
      <w:r w:rsidR="00F67097" w:rsidRPr="00CB1763">
        <w:rPr>
          <w:rFonts w:cs="Arial"/>
          <w:sz w:val="24"/>
          <w:szCs w:val="24"/>
          <w:lang w:val="fr-CA"/>
        </w:rPr>
        <w:t>repose essentiellement sur un désaccord concernant l’interpré</w:t>
      </w:r>
      <w:r w:rsidR="002B3107" w:rsidRPr="00CB1763">
        <w:rPr>
          <w:rFonts w:cs="Arial"/>
          <w:sz w:val="24"/>
          <w:szCs w:val="24"/>
          <w:lang w:val="fr-CA"/>
        </w:rPr>
        <w:t xml:space="preserve">tation </w:t>
      </w:r>
      <w:r w:rsidR="00F67097" w:rsidRPr="00CB1763">
        <w:rPr>
          <w:rFonts w:cs="Arial"/>
          <w:sz w:val="24"/>
          <w:szCs w:val="24"/>
          <w:lang w:val="fr-CA"/>
        </w:rPr>
        <w:t>de l’information médicale, fonctionnelle et sportive</w:t>
      </w:r>
      <w:r w:rsidR="00057B2F">
        <w:rPr>
          <w:rFonts w:cs="Arial"/>
          <w:sz w:val="24"/>
          <w:szCs w:val="24"/>
          <w:lang w:val="fr-CA"/>
        </w:rPr>
        <w:t xml:space="preserve"> – </w:t>
      </w:r>
      <w:r w:rsidR="00DD3C68" w:rsidRPr="00CB1763">
        <w:rPr>
          <w:rFonts w:cs="Arial"/>
          <w:sz w:val="24"/>
          <w:szCs w:val="24"/>
          <w:lang w:val="fr-CA"/>
        </w:rPr>
        <w:t>laquelle est évaluée par les</w:t>
      </w:r>
      <w:r w:rsidR="005325DD" w:rsidRPr="00CB1763">
        <w:rPr>
          <w:rFonts w:cs="Arial"/>
          <w:sz w:val="24"/>
          <w:szCs w:val="24"/>
          <w:lang w:val="fr-CA"/>
        </w:rPr>
        <w:t xml:space="preserve"> experts </w:t>
      </w:r>
      <w:r w:rsidR="00DD3C68" w:rsidRPr="00CB1763">
        <w:rPr>
          <w:rFonts w:cs="Arial"/>
          <w:sz w:val="24"/>
          <w:szCs w:val="24"/>
          <w:lang w:val="fr-CA"/>
        </w:rPr>
        <w:t>en tout premier lieu</w:t>
      </w:r>
      <w:r w:rsidR="005325DD" w:rsidRPr="00CB1763">
        <w:rPr>
          <w:rFonts w:cs="Arial"/>
          <w:sz w:val="24"/>
          <w:szCs w:val="24"/>
          <w:lang w:val="fr-CA"/>
        </w:rPr>
        <w:t xml:space="preserve">. </w:t>
      </w:r>
      <w:r w:rsidR="00DD3C68" w:rsidRPr="00CB1763">
        <w:rPr>
          <w:rFonts w:cs="Arial"/>
          <w:sz w:val="24"/>
          <w:szCs w:val="24"/>
          <w:lang w:val="fr-CA"/>
        </w:rPr>
        <w:t>Des e</w:t>
      </w:r>
      <w:r w:rsidR="002B3107" w:rsidRPr="00CB1763">
        <w:rPr>
          <w:rFonts w:cs="Arial"/>
          <w:sz w:val="24"/>
          <w:szCs w:val="24"/>
          <w:lang w:val="fr-CA"/>
        </w:rPr>
        <w:t xml:space="preserve">xperts </w:t>
      </w:r>
      <w:r w:rsidR="00DD3C68" w:rsidRPr="00CB1763">
        <w:rPr>
          <w:rFonts w:cs="Arial"/>
          <w:sz w:val="24"/>
          <w:szCs w:val="24"/>
          <w:lang w:val="fr-CA"/>
        </w:rPr>
        <w:t>qui examinent les mêmes informations peuvent être en désaccord, cela va de soi.</w:t>
      </w:r>
      <w:r w:rsidR="002B3107" w:rsidRPr="00CB1763">
        <w:rPr>
          <w:rFonts w:cs="Arial"/>
          <w:sz w:val="24"/>
          <w:szCs w:val="24"/>
          <w:lang w:val="fr-CA"/>
        </w:rPr>
        <w:t xml:space="preserve"> </w:t>
      </w:r>
      <w:r w:rsidR="00DD3C68" w:rsidRPr="00CB1763">
        <w:rPr>
          <w:rFonts w:cs="Arial"/>
          <w:sz w:val="24"/>
          <w:szCs w:val="24"/>
          <w:lang w:val="fr-CA"/>
        </w:rPr>
        <w:t xml:space="preserve">Un autre groupe d’experts peut corroborer l’une ou l’autre conclusion, affirmant qu’elles sont à la fois raisonnables et </w:t>
      </w:r>
      <w:r w:rsidR="002B3107" w:rsidRPr="00CB1763">
        <w:rPr>
          <w:rFonts w:cs="Arial"/>
          <w:sz w:val="24"/>
          <w:szCs w:val="24"/>
          <w:lang w:val="fr-CA"/>
        </w:rPr>
        <w:t>acceptable</w:t>
      </w:r>
      <w:r w:rsidR="00DD3C68" w:rsidRPr="00CB1763">
        <w:rPr>
          <w:rFonts w:cs="Arial"/>
          <w:sz w:val="24"/>
          <w:szCs w:val="24"/>
          <w:lang w:val="fr-CA"/>
        </w:rPr>
        <w:t>s, sans toutefois y adhérer totalement</w:t>
      </w:r>
      <w:r w:rsidR="002B3107" w:rsidRPr="00CB1763">
        <w:rPr>
          <w:rFonts w:cs="Arial"/>
          <w:sz w:val="24"/>
          <w:szCs w:val="24"/>
          <w:lang w:val="fr-CA"/>
        </w:rPr>
        <w:t xml:space="preserve">. </w:t>
      </w:r>
      <w:r w:rsidR="00CD606D" w:rsidRPr="00CB1763">
        <w:rPr>
          <w:rFonts w:cs="Arial"/>
          <w:sz w:val="24"/>
          <w:szCs w:val="24"/>
          <w:lang w:val="fr-CA"/>
        </w:rPr>
        <w:t>Les adeptes de cette piste de réflexion</w:t>
      </w:r>
      <w:r w:rsidR="002B3107" w:rsidRPr="00CB1763">
        <w:rPr>
          <w:rFonts w:cs="Arial"/>
          <w:sz w:val="24"/>
          <w:szCs w:val="24"/>
          <w:lang w:val="fr-CA"/>
        </w:rPr>
        <w:t xml:space="preserve"> </w:t>
      </w:r>
      <w:r w:rsidR="00CD606D" w:rsidRPr="00CB1763">
        <w:rPr>
          <w:rFonts w:cs="Arial"/>
          <w:sz w:val="24"/>
          <w:szCs w:val="24"/>
          <w:lang w:val="fr-CA"/>
        </w:rPr>
        <w:t>diront que</w:t>
      </w:r>
      <w:r w:rsidR="00057B2F">
        <w:rPr>
          <w:rFonts w:cs="Arial"/>
          <w:sz w:val="24"/>
          <w:szCs w:val="24"/>
          <w:lang w:val="fr-CA"/>
        </w:rPr>
        <w:t>,</w:t>
      </w:r>
      <w:r w:rsidR="00CD606D" w:rsidRPr="00CB1763">
        <w:rPr>
          <w:rFonts w:cs="Arial"/>
          <w:sz w:val="24"/>
          <w:szCs w:val="24"/>
          <w:lang w:val="fr-CA"/>
        </w:rPr>
        <w:t xml:space="preserve"> pour renverser la dé</w:t>
      </w:r>
      <w:r w:rsidR="002B3107" w:rsidRPr="00CB1763">
        <w:rPr>
          <w:rFonts w:cs="Arial"/>
          <w:sz w:val="24"/>
          <w:szCs w:val="24"/>
          <w:lang w:val="fr-CA"/>
        </w:rPr>
        <w:t xml:space="preserve">cision </w:t>
      </w:r>
      <w:r w:rsidR="00CD606D" w:rsidRPr="00CB1763">
        <w:rPr>
          <w:rFonts w:cs="Arial"/>
          <w:sz w:val="24"/>
          <w:szCs w:val="24"/>
          <w:lang w:val="fr-CA"/>
        </w:rPr>
        <w:t>d’un comité de classification</w:t>
      </w:r>
      <w:r w:rsidR="002B3107" w:rsidRPr="00CB1763">
        <w:rPr>
          <w:rFonts w:cs="Arial"/>
          <w:sz w:val="24"/>
          <w:szCs w:val="24"/>
          <w:lang w:val="fr-CA"/>
        </w:rPr>
        <w:t xml:space="preserve">, </w:t>
      </w:r>
      <w:r w:rsidR="00CD606D" w:rsidRPr="00CB1763">
        <w:rPr>
          <w:rFonts w:cs="Arial"/>
          <w:sz w:val="24"/>
          <w:szCs w:val="24"/>
          <w:lang w:val="fr-CA"/>
        </w:rPr>
        <w:t>la partie qui dépose un protêt doit assumer le fardeau de la preuve et démontrer que la décision du comité était déraisonnable</w:t>
      </w:r>
      <w:r w:rsidR="00002EF2" w:rsidRPr="00CB1763">
        <w:rPr>
          <w:rFonts w:cs="Arial"/>
          <w:sz w:val="24"/>
          <w:szCs w:val="24"/>
          <w:lang w:val="fr-CA"/>
        </w:rPr>
        <w:t>.</w:t>
      </w:r>
      <w:r w:rsidR="002B3107" w:rsidRPr="00CB1763">
        <w:rPr>
          <w:rFonts w:cs="Arial"/>
          <w:sz w:val="24"/>
          <w:szCs w:val="24"/>
          <w:lang w:val="fr-CA"/>
        </w:rPr>
        <w:t xml:space="preserve"> </w:t>
      </w:r>
      <w:r w:rsidR="00A22ED8" w:rsidRPr="00CB1763">
        <w:rPr>
          <w:rFonts w:cs="Arial"/>
          <w:sz w:val="24"/>
          <w:szCs w:val="24"/>
          <w:lang w:val="fr-CA"/>
        </w:rPr>
        <w:t>Ainsi,</w:t>
      </w:r>
      <w:r w:rsidR="002B3107" w:rsidRPr="00CB1763">
        <w:rPr>
          <w:rFonts w:cs="Arial"/>
          <w:sz w:val="24"/>
          <w:szCs w:val="24"/>
          <w:lang w:val="fr-CA"/>
        </w:rPr>
        <w:t xml:space="preserve"> </w:t>
      </w:r>
      <w:r w:rsidR="00A22ED8" w:rsidRPr="00CB1763">
        <w:rPr>
          <w:rFonts w:cs="Arial"/>
          <w:sz w:val="24"/>
          <w:szCs w:val="24"/>
          <w:lang w:val="fr-CA"/>
        </w:rPr>
        <w:t>le jury d’arbitrage n’aura pas à choisir entre les avis exprimés par les experts.</w:t>
      </w:r>
      <w:r w:rsidR="002B3107" w:rsidRPr="00CB1763">
        <w:rPr>
          <w:rFonts w:cs="Arial"/>
          <w:sz w:val="24"/>
          <w:szCs w:val="24"/>
          <w:lang w:val="fr-CA"/>
        </w:rPr>
        <w:t xml:space="preserve"> </w:t>
      </w:r>
      <w:r w:rsidR="00C241CE" w:rsidRPr="00CB1763">
        <w:rPr>
          <w:rFonts w:cs="Arial"/>
          <w:sz w:val="24"/>
          <w:szCs w:val="24"/>
          <w:lang w:val="fr-CA"/>
        </w:rPr>
        <w:t>Quoique cette norme de preuve soit supérieure</w:t>
      </w:r>
      <w:r w:rsidR="002B3107" w:rsidRPr="00CB1763">
        <w:rPr>
          <w:rFonts w:cs="Arial"/>
          <w:sz w:val="24"/>
          <w:szCs w:val="24"/>
          <w:lang w:val="fr-CA"/>
        </w:rPr>
        <w:t xml:space="preserve"> </w:t>
      </w:r>
      <w:r w:rsidR="00C241CE" w:rsidRPr="00CB1763">
        <w:rPr>
          <w:rFonts w:cs="Arial"/>
          <w:sz w:val="24"/>
          <w:szCs w:val="24"/>
          <w:lang w:val="fr-CA"/>
        </w:rPr>
        <w:t>à celle de la prépondérance des probabilités</w:t>
      </w:r>
      <w:r w:rsidR="002B3107" w:rsidRPr="00CB1763">
        <w:rPr>
          <w:rFonts w:cs="Arial"/>
          <w:sz w:val="24"/>
          <w:szCs w:val="24"/>
          <w:lang w:val="fr-CA"/>
        </w:rPr>
        <w:t xml:space="preserve">, </w:t>
      </w:r>
      <w:r w:rsidR="00C241CE" w:rsidRPr="00CB1763">
        <w:rPr>
          <w:rFonts w:cs="Arial"/>
          <w:sz w:val="24"/>
          <w:szCs w:val="24"/>
          <w:lang w:val="fr-CA"/>
        </w:rPr>
        <w:t>elle oblige les parties à réfléchir attentivement avant de déposer un protêt, lorsque des experts en la matière sont sollicités.</w:t>
      </w:r>
      <w:r w:rsidR="002B3107" w:rsidRPr="00CB1763">
        <w:rPr>
          <w:rFonts w:cs="Arial"/>
          <w:sz w:val="24"/>
          <w:szCs w:val="24"/>
          <w:lang w:val="fr-CA"/>
        </w:rPr>
        <w:t xml:space="preserve"> </w:t>
      </w:r>
      <w:r w:rsidR="007539BD" w:rsidRPr="00CB1763">
        <w:rPr>
          <w:rFonts w:cs="Arial"/>
          <w:sz w:val="24"/>
          <w:szCs w:val="24"/>
          <w:lang w:val="fr-CA"/>
        </w:rPr>
        <w:t>Par ailleurs, une erreur de procédure, de par sa nature même, sera presque toujours</w:t>
      </w:r>
      <w:r w:rsidR="002B3107" w:rsidRPr="00CB1763">
        <w:rPr>
          <w:rFonts w:cs="Arial"/>
          <w:sz w:val="24"/>
          <w:szCs w:val="24"/>
          <w:lang w:val="fr-CA"/>
        </w:rPr>
        <w:t xml:space="preserve"> </w:t>
      </w:r>
      <w:r w:rsidR="007539BD" w:rsidRPr="00CB1763">
        <w:rPr>
          <w:rFonts w:cs="Arial"/>
          <w:sz w:val="24"/>
          <w:szCs w:val="24"/>
          <w:lang w:val="fr-CA"/>
        </w:rPr>
        <w:t>jugée déraisonnable, étant donné qu’elle porte atteinte à l’équité même du processus.</w:t>
      </w:r>
    </w:p>
    <w:p w:rsidR="002B3107" w:rsidRPr="00CB1763" w:rsidRDefault="002B3107" w:rsidP="002B3107">
      <w:pPr>
        <w:pStyle w:val="ListParagraph"/>
        <w:rPr>
          <w:rFonts w:cs="Arial"/>
          <w:sz w:val="24"/>
          <w:szCs w:val="24"/>
          <w:lang w:val="fr-CA"/>
        </w:rPr>
      </w:pPr>
    </w:p>
    <w:p w:rsidR="002B3107" w:rsidRPr="00CB1763" w:rsidRDefault="001D3F22" w:rsidP="003576E5">
      <w:pPr>
        <w:pStyle w:val="ListParagraph"/>
        <w:numPr>
          <w:ilvl w:val="0"/>
          <w:numId w:val="8"/>
        </w:numPr>
        <w:ind w:left="360"/>
        <w:rPr>
          <w:rFonts w:cs="Arial"/>
          <w:sz w:val="24"/>
          <w:szCs w:val="24"/>
          <w:lang w:val="fr-CA"/>
        </w:rPr>
      </w:pPr>
      <w:r w:rsidRPr="00CB1763">
        <w:rPr>
          <w:rFonts w:cs="Arial"/>
          <w:sz w:val="24"/>
          <w:szCs w:val="24"/>
          <w:lang w:val="fr-CA"/>
        </w:rPr>
        <w:t>L’autre courant d’opinions est plutôt d’avis qu’un second jury devrait pouvoir déterminer si la classification « non admissible » proposée par le comité est exacte.</w:t>
      </w:r>
      <w:r w:rsidR="002B3107" w:rsidRPr="00CB1763">
        <w:rPr>
          <w:rFonts w:cs="Arial"/>
          <w:sz w:val="24"/>
          <w:szCs w:val="24"/>
          <w:lang w:val="fr-CA"/>
        </w:rPr>
        <w:t xml:space="preserve"> </w:t>
      </w:r>
      <w:r w:rsidR="005D2F81" w:rsidRPr="00CB1763">
        <w:rPr>
          <w:rFonts w:cs="Arial"/>
          <w:sz w:val="24"/>
          <w:szCs w:val="24"/>
          <w:lang w:val="fr-CA"/>
        </w:rPr>
        <w:t>À cet égard, le second jury ne devrait pas avoir accès aux conclusions du comité.</w:t>
      </w:r>
      <w:r w:rsidR="002B3107" w:rsidRPr="00CB1763">
        <w:rPr>
          <w:rFonts w:cs="Arial"/>
          <w:sz w:val="24"/>
          <w:szCs w:val="24"/>
          <w:lang w:val="fr-CA"/>
        </w:rPr>
        <w:t xml:space="preserve"> </w:t>
      </w:r>
      <w:r w:rsidR="005D2F81" w:rsidRPr="00CB1763">
        <w:rPr>
          <w:rFonts w:cs="Arial"/>
          <w:sz w:val="24"/>
          <w:szCs w:val="24"/>
          <w:lang w:val="fr-CA"/>
        </w:rPr>
        <w:t>Dans un tel cas, la décision de première instance ne devrait pas entrer en ligne de compte.</w:t>
      </w:r>
      <w:r w:rsidR="002B3107" w:rsidRPr="00CB1763">
        <w:rPr>
          <w:rFonts w:cs="Arial"/>
          <w:sz w:val="24"/>
          <w:szCs w:val="24"/>
          <w:lang w:val="fr-CA"/>
        </w:rPr>
        <w:t xml:space="preserve"> </w:t>
      </w:r>
      <w:r w:rsidR="00875FEB" w:rsidRPr="00CB1763">
        <w:rPr>
          <w:rFonts w:cs="Arial"/>
          <w:sz w:val="24"/>
          <w:szCs w:val="24"/>
          <w:lang w:val="fr-CA"/>
        </w:rPr>
        <w:t xml:space="preserve">Cela a toutefois pour effet de diminuer la valeur du travail accompli en première instance, sans </w:t>
      </w:r>
      <w:r w:rsidR="00CE4A77" w:rsidRPr="00CB1763">
        <w:rPr>
          <w:rFonts w:cs="Arial"/>
          <w:sz w:val="24"/>
          <w:szCs w:val="24"/>
          <w:lang w:val="fr-CA"/>
        </w:rPr>
        <w:t>pour autant décréter que la décision prise n’était pas la bonne.</w:t>
      </w:r>
    </w:p>
    <w:p w:rsidR="002B3107" w:rsidRPr="00CB1763" w:rsidRDefault="002B3107" w:rsidP="003576E5">
      <w:pPr>
        <w:pStyle w:val="ListParagraph"/>
        <w:ind w:left="360" w:hanging="360"/>
        <w:rPr>
          <w:rFonts w:cs="Arial"/>
          <w:sz w:val="24"/>
          <w:szCs w:val="24"/>
          <w:lang w:val="fr-CA"/>
        </w:rPr>
      </w:pPr>
    </w:p>
    <w:p w:rsidR="002B3107" w:rsidRPr="00CB1763" w:rsidRDefault="00AC5EB8" w:rsidP="003576E5">
      <w:pPr>
        <w:pStyle w:val="ListParagraph"/>
        <w:numPr>
          <w:ilvl w:val="0"/>
          <w:numId w:val="8"/>
        </w:numPr>
        <w:ind w:left="360"/>
        <w:rPr>
          <w:rFonts w:cs="Arial"/>
          <w:sz w:val="24"/>
          <w:szCs w:val="24"/>
          <w:lang w:val="fr-CA"/>
        </w:rPr>
      </w:pPr>
      <w:r w:rsidRPr="00CB1763">
        <w:rPr>
          <w:rFonts w:cs="Arial"/>
          <w:sz w:val="24"/>
          <w:szCs w:val="24"/>
          <w:lang w:val="fr-CA"/>
        </w:rPr>
        <w:t>L’ACSA</w:t>
      </w:r>
      <w:r w:rsidR="002B3107" w:rsidRPr="00CB1763">
        <w:rPr>
          <w:rFonts w:cs="Arial"/>
          <w:sz w:val="24"/>
          <w:szCs w:val="24"/>
          <w:lang w:val="fr-CA"/>
        </w:rPr>
        <w:t xml:space="preserve"> </w:t>
      </w:r>
      <w:r w:rsidRPr="00CB1763">
        <w:rPr>
          <w:rFonts w:cs="Arial"/>
          <w:sz w:val="24"/>
          <w:szCs w:val="24"/>
          <w:lang w:val="fr-CA"/>
        </w:rPr>
        <w:t>appuie la première série d’arguments</w:t>
      </w:r>
      <w:r w:rsidR="002B3107" w:rsidRPr="00CB1763">
        <w:rPr>
          <w:rFonts w:cs="Arial"/>
          <w:sz w:val="24"/>
          <w:szCs w:val="24"/>
          <w:lang w:val="fr-CA"/>
        </w:rPr>
        <w:t xml:space="preserve"> </w:t>
      </w:r>
      <w:r w:rsidRPr="00CB1763">
        <w:rPr>
          <w:rFonts w:cs="Arial"/>
          <w:sz w:val="24"/>
          <w:szCs w:val="24"/>
          <w:lang w:val="fr-CA"/>
        </w:rPr>
        <w:t>car cela oblige les responsables de la classification à prendre la bonne décision dès le départ et à tenir compte de leurs propres</w:t>
      </w:r>
      <w:r w:rsidR="002B3107" w:rsidRPr="00CB1763">
        <w:rPr>
          <w:rFonts w:cs="Arial"/>
          <w:sz w:val="24"/>
          <w:szCs w:val="24"/>
          <w:lang w:val="fr-CA"/>
        </w:rPr>
        <w:t xml:space="preserve"> </w:t>
      </w:r>
      <w:r w:rsidRPr="00CB1763">
        <w:rPr>
          <w:rFonts w:cs="Arial"/>
          <w:sz w:val="24"/>
          <w:szCs w:val="24"/>
          <w:lang w:val="fr-CA"/>
        </w:rPr>
        <w:t>opinions au moment de prendre une décision.</w:t>
      </w:r>
      <w:r w:rsidR="002B3107" w:rsidRPr="00CB1763">
        <w:rPr>
          <w:rFonts w:cs="Arial"/>
          <w:sz w:val="24"/>
          <w:szCs w:val="24"/>
          <w:lang w:val="fr-CA"/>
        </w:rPr>
        <w:t xml:space="preserve"> </w:t>
      </w:r>
      <w:r w:rsidR="009E169E" w:rsidRPr="00CB1763">
        <w:rPr>
          <w:rFonts w:cs="Arial"/>
          <w:sz w:val="24"/>
          <w:szCs w:val="24"/>
          <w:lang w:val="fr-CA"/>
        </w:rPr>
        <w:t>Leurs conclusions peuvent également être évaluées par d’autres responsables de la classification tout aussi compétents et qualifiés</w:t>
      </w:r>
      <w:r w:rsidRPr="00CB1763">
        <w:rPr>
          <w:rFonts w:cs="Arial"/>
          <w:sz w:val="24"/>
          <w:szCs w:val="24"/>
          <w:lang w:val="fr-CA"/>
        </w:rPr>
        <w:t>.</w:t>
      </w:r>
      <w:r w:rsidR="002B3107" w:rsidRPr="00CB1763">
        <w:rPr>
          <w:rFonts w:cs="Arial"/>
          <w:sz w:val="24"/>
          <w:szCs w:val="24"/>
          <w:lang w:val="fr-CA"/>
        </w:rPr>
        <w:t xml:space="preserve"> </w:t>
      </w:r>
      <w:r w:rsidR="00E94DAC" w:rsidRPr="00CB1763">
        <w:rPr>
          <w:rFonts w:cs="Arial"/>
          <w:sz w:val="24"/>
          <w:szCs w:val="24"/>
          <w:lang w:val="fr-CA"/>
        </w:rPr>
        <w:t>Cela évite aussi qu’une décision soit renversée uniquement à cause d’opinions divergentes.</w:t>
      </w:r>
      <w:r w:rsidR="002B3107" w:rsidRPr="00CB1763">
        <w:rPr>
          <w:rFonts w:cs="Arial"/>
          <w:sz w:val="24"/>
          <w:szCs w:val="24"/>
          <w:lang w:val="fr-CA"/>
        </w:rPr>
        <w:t xml:space="preserve"> </w:t>
      </w:r>
      <w:r w:rsidR="00E94DAC" w:rsidRPr="00CB1763">
        <w:rPr>
          <w:rFonts w:cs="Arial"/>
          <w:sz w:val="24"/>
          <w:szCs w:val="24"/>
          <w:lang w:val="fr-CA"/>
        </w:rPr>
        <w:t>Cela est</w:t>
      </w:r>
      <w:r w:rsidR="002B3107" w:rsidRPr="00CB1763">
        <w:rPr>
          <w:rFonts w:cs="Arial"/>
          <w:sz w:val="24"/>
          <w:szCs w:val="24"/>
          <w:lang w:val="fr-CA"/>
        </w:rPr>
        <w:t xml:space="preserve"> important </w:t>
      </w:r>
      <w:r w:rsidR="00E94DAC" w:rsidRPr="00CB1763">
        <w:rPr>
          <w:rFonts w:cs="Arial"/>
          <w:sz w:val="24"/>
          <w:szCs w:val="24"/>
          <w:lang w:val="fr-CA"/>
        </w:rPr>
        <w:t>car la</w:t>
      </w:r>
      <w:r w:rsidR="002B3107" w:rsidRPr="00CB1763">
        <w:rPr>
          <w:rFonts w:cs="Arial"/>
          <w:sz w:val="24"/>
          <w:szCs w:val="24"/>
          <w:lang w:val="fr-CA"/>
        </w:rPr>
        <w:t xml:space="preserve"> classification </w:t>
      </w:r>
      <w:r w:rsidR="00E94DAC" w:rsidRPr="00CB1763">
        <w:rPr>
          <w:rFonts w:cs="Arial"/>
          <w:sz w:val="24"/>
          <w:szCs w:val="24"/>
          <w:lang w:val="fr-CA"/>
        </w:rPr>
        <w:t>des athlè</w:t>
      </w:r>
      <w:r w:rsidR="002B3107" w:rsidRPr="00CB1763">
        <w:rPr>
          <w:rFonts w:cs="Arial"/>
          <w:sz w:val="24"/>
          <w:szCs w:val="24"/>
          <w:lang w:val="fr-CA"/>
        </w:rPr>
        <w:t xml:space="preserve">tes </w:t>
      </w:r>
      <w:r w:rsidR="00E94DAC" w:rsidRPr="00CB1763">
        <w:rPr>
          <w:rFonts w:cs="Arial"/>
          <w:sz w:val="24"/>
          <w:szCs w:val="24"/>
          <w:lang w:val="fr-CA"/>
        </w:rPr>
        <w:t>est un art où de nombreux facteurs entrent en ligne de compte et non pas une science exacte fondée uniquement sur des informations empiriques.</w:t>
      </w:r>
    </w:p>
    <w:p w:rsidR="002B3107" w:rsidRPr="00CB1763" w:rsidRDefault="002B3107" w:rsidP="003576E5">
      <w:pPr>
        <w:pStyle w:val="ListParagraph"/>
        <w:ind w:left="360" w:hanging="360"/>
        <w:rPr>
          <w:rFonts w:cs="Arial"/>
          <w:sz w:val="24"/>
          <w:szCs w:val="24"/>
          <w:lang w:val="fr-CA"/>
        </w:rPr>
      </w:pPr>
    </w:p>
    <w:p w:rsidR="002B3107" w:rsidRPr="00CB1763" w:rsidRDefault="001E1746" w:rsidP="003576E5">
      <w:pPr>
        <w:pStyle w:val="ListParagraph"/>
        <w:numPr>
          <w:ilvl w:val="0"/>
          <w:numId w:val="8"/>
        </w:numPr>
        <w:ind w:left="360"/>
        <w:rPr>
          <w:rFonts w:cs="Arial"/>
          <w:sz w:val="24"/>
          <w:szCs w:val="24"/>
          <w:lang w:val="fr-CA"/>
        </w:rPr>
      </w:pPr>
      <w:r w:rsidRPr="00CB1763">
        <w:rPr>
          <w:rFonts w:cs="Arial"/>
          <w:sz w:val="24"/>
          <w:szCs w:val="24"/>
          <w:lang w:val="fr-CA"/>
        </w:rPr>
        <w:t>Lorsqu’un athlète est déclaré non admissible en première instance,</w:t>
      </w:r>
      <w:r w:rsidR="002B3107" w:rsidRPr="00CB1763">
        <w:rPr>
          <w:rFonts w:cs="Arial"/>
          <w:sz w:val="24"/>
          <w:szCs w:val="24"/>
          <w:lang w:val="fr-CA"/>
        </w:rPr>
        <w:t xml:space="preserve"> </w:t>
      </w:r>
      <w:r w:rsidRPr="00CB1763">
        <w:rPr>
          <w:rFonts w:cs="Arial"/>
          <w:sz w:val="24"/>
          <w:szCs w:val="24"/>
          <w:lang w:val="fr-CA"/>
        </w:rPr>
        <w:t>on devrait faire appel à un jury d’arbitrage en dernier recours.</w:t>
      </w:r>
      <w:r w:rsidR="002B3107" w:rsidRPr="00CB1763">
        <w:rPr>
          <w:rFonts w:cs="Arial"/>
          <w:sz w:val="24"/>
          <w:szCs w:val="24"/>
          <w:lang w:val="fr-CA"/>
        </w:rPr>
        <w:t xml:space="preserve"> </w:t>
      </w:r>
      <w:r w:rsidRPr="00CB1763">
        <w:rPr>
          <w:rFonts w:cs="Arial"/>
          <w:sz w:val="24"/>
          <w:szCs w:val="24"/>
          <w:lang w:val="fr-CA"/>
        </w:rPr>
        <w:t xml:space="preserve">Malgré tout, l’athlète doit conserver son droit d’appel, pour démontrer qu’il a bel et bien eu deux chances de contester </w:t>
      </w:r>
      <w:r w:rsidRPr="00CB1763">
        <w:rPr>
          <w:rFonts w:cs="Arial"/>
          <w:sz w:val="24"/>
          <w:szCs w:val="24"/>
          <w:lang w:val="fr-CA"/>
        </w:rPr>
        <w:lastRenderedPageBreak/>
        <w:t>une décision et que toute démarche supplémentaire pourrait être très exigeante envers le système de classification.</w:t>
      </w:r>
    </w:p>
    <w:p w:rsidR="002B3107" w:rsidRPr="00CB1763" w:rsidRDefault="002B3107" w:rsidP="002B3107">
      <w:pPr>
        <w:pStyle w:val="Heading2"/>
        <w:numPr>
          <w:ilvl w:val="0"/>
          <w:numId w:val="11"/>
        </w:numPr>
        <w:rPr>
          <w:lang w:val="fr-CA"/>
        </w:rPr>
      </w:pPr>
      <w:r w:rsidRPr="00CB1763">
        <w:rPr>
          <w:lang w:val="fr-CA"/>
        </w:rPr>
        <w:t xml:space="preserve"> </w:t>
      </w:r>
      <w:bookmarkStart w:id="32" w:name="_Toc368318364"/>
      <w:r w:rsidR="00B47D10" w:rsidRPr="00CB1763">
        <w:rPr>
          <w:lang w:val="fr-CA"/>
        </w:rPr>
        <w:t>Compétence en matière d’appel </w:t>
      </w:r>
      <w:r w:rsidRPr="00CB1763">
        <w:rPr>
          <w:lang w:val="fr-CA"/>
        </w:rPr>
        <w:t xml:space="preserve">: </w:t>
      </w:r>
      <w:r w:rsidR="00F1635B" w:rsidRPr="00CB1763">
        <w:rPr>
          <w:lang w:val="fr-CA"/>
        </w:rPr>
        <w:t>N</w:t>
      </w:r>
      <w:r w:rsidR="003A681A" w:rsidRPr="00CB1763">
        <w:rPr>
          <w:lang w:val="fr-CA"/>
        </w:rPr>
        <w:t>orme i</w:t>
      </w:r>
      <w:r w:rsidRPr="00CB1763">
        <w:rPr>
          <w:lang w:val="fr-CA"/>
        </w:rPr>
        <w:t>nternational</w:t>
      </w:r>
      <w:r w:rsidR="003A681A" w:rsidRPr="00CB1763">
        <w:rPr>
          <w:lang w:val="fr-CA"/>
        </w:rPr>
        <w:t>e : protêts et appe</w:t>
      </w:r>
      <w:r w:rsidRPr="00CB1763">
        <w:rPr>
          <w:lang w:val="fr-CA"/>
        </w:rPr>
        <w:t>ls, Section 11)</w:t>
      </w:r>
      <w:bookmarkEnd w:id="32"/>
    </w:p>
    <w:p w:rsidR="002B3107" w:rsidRPr="00CB1763" w:rsidRDefault="002B3107" w:rsidP="003576E5">
      <w:pPr>
        <w:pStyle w:val="ListParagraph"/>
        <w:rPr>
          <w:rFonts w:cs="Arial"/>
          <w:sz w:val="24"/>
          <w:szCs w:val="24"/>
          <w:lang w:val="fr-CA"/>
        </w:rPr>
      </w:pPr>
    </w:p>
    <w:p w:rsidR="002B3107" w:rsidRPr="00CB1763" w:rsidRDefault="005A7909" w:rsidP="003576E5">
      <w:pPr>
        <w:pStyle w:val="ListParagraph"/>
        <w:numPr>
          <w:ilvl w:val="0"/>
          <w:numId w:val="8"/>
        </w:numPr>
        <w:ind w:left="360"/>
        <w:rPr>
          <w:rFonts w:cs="Arial"/>
          <w:sz w:val="24"/>
          <w:szCs w:val="24"/>
          <w:lang w:val="fr-CA"/>
        </w:rPr>
      </w:pPr>
      <w:r w:rsidRPr="00CB1763">
        <w:rPr>
          <w:rFonts w:cs="Arial"/>
          <w:sz w:val="24"/>
          <w:szCs w:val="24"/>
          <w:lang w:val="fr-CA"/>
        </w:rPr>
        <w:t xml:space="preserve">La </w:t>
      </w:r>
      <w:r w:rsidR="002B3107" w:rsidRPr="00CB1763">
        <w:rPr>
          <w:rFonts w:cs="Arial"/>
          <w:sz w:val="24"/>
          <w:szCs w:val="24"/>
          <w:lang w:val="fr-CA"/>
        </w:rPr>
        <w:t xml:space="preserve">Section 11.2 </w:t>
      </w:r>
      <w:r w:rsidRPr="00CB1763">
        <w:rPr>
          <w:rFonts w:cs="Arial"/>
          <w:sz w:val="24"/>
          <w:szCs w:val="24"/>
          <w:lang w:val="fr-CA"/>
        </w:rPr>
        <w:t>devrait être modifiée pour obliger le comité d’appel à</w:t>
      </w:r>
      <w:r w:rsidR="002B3107" w:rsidRPr="00CB1763">
        <w:rPr>
          <w:rFonts w:cs="Arial"/>
          <w:sz w:val="24"/>
          <w:szCs w:val="24"/>
          <w:lang w:val="fr-CA"/>
        </w:rPr>
        <w:t xml:space="preserve"> </w:t>
      </w:r>
      <w:r w:rsidRPr="00CB1763">
        <w:rPr>
          <w:rFonts w:cs="Arial"/>
          <w:sz w:val="24"/>
          <w:szCs w:val="24"/>
          <w:lang w:val="fr-CA"/>
        </w:rPr>
        <w:t>renvoyer la décision devant un autre jury de classification, afin de déterminer la catégorie d’un athlète,</w:t>
      </w:r>
      <w:r w:rsidR="002B3107" w:rsidRPr="00CB1763">
        <w:rPr>
          <w:rFonts w:cs="Arial"/>
          <w:sz w:val="24"/>
          <w:szCs w:val="24"/>
          <w:lang w:val="fr-CA"/>
        </w:rPr>
        <w:t xml:space="preserve"> </w:t>
      </w:r>
      <w:r w:rsidRPr="00CB1763">
        <w:rPr>
          <w:rFonts w:cs="Arial"/>
          <w:sz w:val="24"/>
          <w:szCs w:val="24"/>
          <w:lang w:val="fr-CA"/>
        </w:rPr>
        <w:t>si le comité d’appel décide</w:t>
      </w:r>
      <w:r w:rsidR="002B3107" w:rsidRPr="00CB1763">
        <w:rPr>
          <w:rFonts w:cs="Arial"/>
          <w:sz w:val="24"/>
          <w:szCs w:val="24"/>
          <w:lang w:val="fr-CA"/>
        </w:rPr>
        <w:t xml:space="preserve"> </w:t>
      </w:r>
      <w:r w:rsidRPr="00CB1763">
        <w:rPr>
          <w:rFonts w:cs="Arial"/>
          <w:sz w:val="24"/>
          <w:szCs w:val="24"/>
          <w:lang w:val="fr-CA"/>
        </w:rPr>
        <w:t>d’autoriser l’appel.</w:t>
      </w:r>
      <w:r w:rsidR="002B3107" w:rsidRPr="00CB1763">
        <w:rPr>
          <w:rFonts w:cs="Arial"/>
          <w:sz w:val="24"/>
          <w:szCs w:val="24"/>
          <w:lang w:val="fr-CA"/>
        </w:rPr>
        <w:t xml:space="preserve"> </w:t>
      </w:r>
      <w:r w:rsidR="007F73AA" w:rsidRPr="00CB1763">
        <w:rPr>
          <w:rFonts w:cs="Arial"/>
          <w:sz w:val="24"/>
          <w:szCs w:val="24"/>
          <w:lang w:val="fr-CA"/>
        </w:rPr>
        <w:t>Ces préoccupations sont soulevées, en partie, à la S</w:t>
      </w:r>
      <w:r w:rsidR="002B3107" w:rsidRPr="00CB1763">
        <w:rPr>
          <w:rFonts w:cs="Arial"/>
          <w:sz w:val="24"/>
          <w:szCs w:val="24"/>
          <w:lang w:val="fr-CA"/>
        </w:rPr>
        <w:t xml:space="preserve">ection 15 </w:t>
      </w:r>
      <w:r w:rsidR="007F73AA" w:rsidRPr="00CB1763">
        <w:rPr>
          <w:rFonts w:cs="Arial"/>
          <w:sz w:val="24"/>
          <w:szCs w:val="24"/>
          <w:lang w:val="fr-CA"/>
        </w:rPr>
        <w:t>de cette norme.</w:t>
      </w:r>
      <w:r w:rsidR="002B3107" w:rsidRPr="00CB1763">
        <w:rPr>
          <w:rFonts w:cs="Arial"/>
          <w:sz w:val="24"/>
          <w:szCs w:val="24"/>
          <w:lang w:val="fr-CA"/>
        </w:rPr>
        <w:t xml:space="preserve"> </w:t>
      </w:r>
      <w:r w:rsidR="007F73AA" w:rsidRPr="00CB1763">
        <w:rPr>
          <w:rFonts w:cs="Arial"/>
          <w:sz w:val="24"/>
          <w:szCs w:val="24"/>
          <w:lang w:val="fr-CA"/>
        </w:rPr>
        <w:t>Toutefois, il n’y a aucune exigence précise établie à cet égard</w:t>
      </w:r>
      <w:r w:rsidR="00B47D10" w:rsidRPr="00CB1763">
        <w:rPr>
          <w:rFonts w:cs="Arial"/>
          <w:sz w:val="24"/>
          <w:szCs w:val="24"/>
          <w:lang w:val="fr-CA"/>
        </w:rPr>
        <w:t>.</w:t>
      </w:r>
    </w:p>
    <w:p w:rsidR="002B3107" w:rsidRPr="00CB1763" w:rsidRDefault="00B47D10" w:rsidP="003576E5">
      <w:pPr>
        <w:pStyle w:val="Heading2"/>
        <w:numPr>
          <w:ilvl w:val="0"/>
          <w:numId w:val="11"/>
        </w:numPr>
        <w:rPr>
          <w:lang w:val="fr-CA"/>
        </w:rPr>
      </w:pPr>
      <w:bookmarkStart w:id="33" w:name="_Toc368318365"/>
      <w:r w:rsidRPr="00CB1763">
        <w:rPr>
          <w:lang w:val="fr-CA"/>
        </w:rPr>
        <w:t>Dépôt d’un appel</w:t>
      </w:r>
      <w:r w:rsidR="002B3107" w:rsidRPr="00CB1763">
        <w:rPr>
          <w:lang w:val="fr-CA"/>
        </w:rPr>
        <w:t xml:space="preserve"> (</w:t>
      </w:r>
      <w:r w:rsidR="00C60563" w:rsidRPr="00CB1763">
        <w:rPr>
          <w:lang w:val="fr-CA"/>
        </w:rPr>
        <w:t>Norme sur les protêts et appe</w:t>
      </w:r>
      <w:r w:rsidR="002B3107" w:rsidRPr="00CB1763">
        <w:rPr>
          <w:lang w:val="fr-CA"/>
        </w:rPr>
        <w:t>ls</w:t>
      </w:r>
      <w:r w:rsidR="00C60563" w:rsidRPr="00CB1763">
        <w:rPr>
          <w:lang w:val="fr-CA"/>
        </w:rPr>
        <w:t>,</w:t>
      </w:r>
      <w:r w:rsidR="002B3107" w:rsidRPr="00CB1763">
        <w:rPr>
          <w:lang w:val="fr-CA"/>
        </w:rPr>
        <w:t xml:space="preserve"> Section 12)</w:t>
      </w:r>
      <w:bookmarkEnd w:id="33"/>
    </w:p>
    <w:p w:rsidR="002B3107" w:rsidRPr="00CB1763" w:rsidRDefault="002B3107" w:rsidP="003576E5">
      <w:pPr>
        <w:pStyle w:val="ListParagraph"/>
        <w:rPr>
          <w:rFonts w:cs="Arial"/>
          <w:sz w:val="24"/>
          <w:szCs w:val="24"/>
          <w:lang w:val="fr-CA"/>
        </w:rPr>
      </w:pPr>
    </w:p>
    <w:p w:rsidR="002B3107" w:rsidRPr="00CB1763" w:rsidRDefault="00E0658D" w:rsidP="003576E5">
      <w:pPr>
        <w:pStyle w:val="ListParagraph"/>
        <w:numPr>
          <w:ilvl w:val="0"/>
          <w:numId w:val="8"/>
        </w:numPr>
        <w:ind w:left="360"/>
        <w:rPr>
          <w:rFonts w:cs="Arial"/>
          <w:sz w:val="24"/>
          <w:szCs w:val="24"/>
          <w:lang w:val="fr-CA"/>
        </w:rPr>
      </w:pPr>
      <w:r w:rsidRPr="00CB1763">
        <w:rPr>
          <w:rFonts w:cs="Arial"/>
          <w:sz w:val="24"/>
          <w:szCs w:val="24"/>
          <w:lang w:val="fr-CA"/>
        </w:rPr>
        <w:t>L’ACSA</w:t>
      </w:r>
      <w:r w:rsidR="002B3107" w:rsidRPr="00CB1763">
        <w:rPr>
          <w:rFonts w:cs="Arial"/>
          <w:sz w:val="24"/>
          <w:szCs w:val="24"/>
          <w:lang w:val="fr-CA"/>
        </w:rPr>
        <w:t xml:space="preserve"> </w:t>
      </w:r>
      <w:r w:rsidRPr="00CB1763">
        <w:rPr>
          <w:rFonts w:cs="Arial"/>
          <w:sz w:val="24"/>
          <w:szCs w:val="24"/>
          <w:lang w:val="fr-CA"/>
        </w:rPr>
        <w:t>est d’avis qu’il doit y avoir un délai d’appel.</w:t>
      </w:r>
      <w:r w:rsidR="002B3107" w:rsidRPr="00CB1763">
        <w:rPr>
          <w:rFonts w:cs="Arial"/>
          <w:sz w:val="24"/>
          <w:szCs w:val="24"/>
          <w:lang w:val="fr-CA"/>
        </w:rPr>
        <w:t xml:space="preserve"> </w:t>
      </w:r>
      <w:r w:rsidR="005331E9" w:rsidRPr="00CB1763">
        <w:rPr>
          <w:rFonts w:cs="Arial"/>
          <w:sz w:val="24"/>
          <w:szCs w:val="24"/>
          <w:lang w:val="fr-CA"/>
        </w:rPr>
        <w:t>L</w:t>
      </w:r>
      <w:r w:rsidR="002B3107" w:rsidRPr="00CB1763">
        <w:rPr>
          <w:rFonts w:cs="Arial"/>
          <w:sz w:val="24"/>
          <w:szCs w:val="24"/>
          <w:lang w:val="fr-CA"/>
        </w:rPr>
        <w:t>e Com</w:t>
      </w:r>
      <w:r w:rsidR="005331E9" w:rsidRPr="00CB1763">
        <w:rPr>
          <w:rFonts w:cs="Arial"/>
          <w:sz w:val="24"/>
          <w:szCs w:val="24"/>
          <w:lang w:val="fr-CA"/>
        </w:rPr>
        <w:t>ité devrait envisager un délai d’appel similaire à celui établi dans le Guide de l’IPC, à l’intention du comité d’appel sur les règles de classification, à moins que</w:t>
      </w:r>
      <w:r w:rsidR="00D41A22">
        <w:rPr>
          <w:rFonts w:cs="Arial"/>
          <w:sz w:val="24"/>
          <w:szCs w:val="24"/>
          <w:lang w:val="fr-CA"/>
        </w:rPr>
        <w:t>,</w:t>
      </w:r>
      <w:r w:rsidR="005331E9" w:rsidRPr="00CB1763">
        <w:rPr>
          <w:rFonts w:cs="Arial"/>
          <w:sz w:val="24"/>
          <w:szCs w:val="24"/>
          <w:lang w:val="fr-CA"/>
        </w:rPr>
        <w:t xml:space="preserve"> </w:t>
      </w:r>
      <w:r w:rsidR="00A10E33" w:rsidRPr="00CB1763">
        <w:rPr>
          <w:rFonts w:cs="Arial"/>
          <w:sz w:val="24"/>
          <w:szCs w:val="24"/>
          <w:lang w:val="fr-CA"/>
        </w:rPr>
        <w:t>dans l’intérêt de la justice</w:t>
      </w:r>
      <w:r w:rsidR="00D41A22">
        <w:rPr>
          <w:rFonts w:cs="Arial"/>
          <w:sz w:val="24"/>
          <w:szCs w:val="24"/>
          <w:lang w:val="fr-CA"/>
        </w:rPr>
        <w:t>,</w:t>
      </w:r>
      <w:r w:rsidR="00A10E33" w:rsidRPr="00CB1763">
        <w:rPr>
          <w:rFonts w:cs="Arial"/>
          <w:sz w:val="24"/>
          <w:szCs w:val="24"/>
          <w:lang w:val="fr-CA"/>
        </w:rPr>
        <w:t xml:space="preserve"> ce délai doive être prolongé.</w:t>
      </w:r>
      <w:r w:rsidR="002B3107" w:rsidRPr="00CB1763">
        <w:rPr>
          <w:rFonts w:cs="Arial"/>
          <w:sz w:val="24"/>
          <w:szCs w:val="24"/>
          <w:lang w:val="fr-CA"/>
        </w:rPr>
        <w:t xml:space="preserve"> </w:t>
      </w:r>
      <w:r w:rsidR="007E0659" w:rsidRPr="00CB1763">
        <w:rPr>
          <w:rFonts w:cs="Arial"/>
          <w:sz w:val="24"/>
          <w:szCs w:val="24"/>
          <w:lang w:val="fr-CA"/>
        </w:rPr>
        <w:t>Cela signifie donc que le délai d’appel serait de quinze jours</w:t>
      </w:r>
      <w:r w:rsidR="002B3107" w:rsidRPr="00CB1763">
        <w:rPr>
          <w:rFonts w:cs="Arial"/>
          <w:sz w:val="24"/>
          <w:szCs w:val="24"/>
          <w:lang w:val="fr-CA"/>
        </w:rPr>
        <w:t xml:space="preserve"> </w:t>
      </w:r>
      <w:r w:rsidR="007E0659" w:rsidRPr="00CB1763">
        <w:rPr>
          <w:rFonts w:cs="Arial"/>
          <w:sz w:val="24"/>
          <w:szCs w:val="24"/>
          <w:lang w:val="fr-CA"/>
        </w:rPr>
        <w:t xml:space="preserve">à compter de la date de la décision </w:t>
      </w:r>
      <w:r w:rsidR="00381E58" w:rsidRPr="00CB1763">
        <w:rPr>
          <w:rFonts w:cs="Arial"/>
          <w:sz w:val="24"/>
          <w:szCs w:val="24"/>
          <w:lang w:val="fr-CA"/>
        </w:rPr>
        <w:t>ou de la date à laquelle une décision a été rendue à la suite d’un protêt.</w:t>
      </w:r>
      <w:r w:rsidR="00D820B4" w:rsidRPr="00CB1763">
        <w:rPr>
          <w:rFonts w:cs="Arial"/>
          <w:sz w:val="24"/>
          <w:szCs w:val="24"/>
          <w:lang w:val="fr-CA"/>
        </w:rPr>
        <w:t xml:space="preserve"> </w:t>
      </w:r>
      <w:r w:rsidR="00DC75C4" w:rsidRPr="00CB1763">
        <w:rPr>
          <w:rFonts w:cs="Arial"/>
          <w:sz w:val="24"/>
          <w:szCs w:val="24"/>
          <w:lang w:val="fr-CA"/>
        </w:rPr>
        <w:t>Il faudrait aussi ajouter une disposition à la règle,</w:t>
      </w:r>
      <w:r w:rsidR="002B3107" w:rsidRPr="00CB1763">
        <w:rPr>
          <w:rFonts w:cs="Arial"/>
          <w:sz w:val="24"/>
          <w:szCs w:val="24"/>
          <w:lang w:val="fr-CA"/>
        </w:rPr>
        <w:t xml:space="preserve"> </w:t>
      </w:r>
      <w:r w:rsidR="00DC75C4" w:rsidRPr="00CB1763">
        <w:rPr>
          <w:rFonts w:cs="Arial"/>
          <w:sz w:val="24"/>
          <w:szCs w:val="24"/>
          <w:lang w:val="fr-CA"/>
        </w:rPr>
        <w:t>pour prolonger le délai d’appel lorsque des preuves sont révélées à l’effet qu’un athlète aurait sciemment fait une fausse déclaration sur ses compétences ou habiletés lors d’une compétition ou</w:t>
      </w:r>
      <w:r w:rsidR="003C6255" w:rsidRPr="00CB1763">
        <w:rPr>
          <w:rFonts w:cs="Arial"/>
          <w:sz w:val="24"/>
          <w:szCs w:val="24"/>
          <w:lang w:val="fr-CA"/>
        </w:rPr>
        <w:t xml:space="preserve"> lorsque l’intérêt de la justice l’exige</w:t>
      </w:r>
      <w:r w:rsidR="00DC75C4" w:rsidRPr="00CB1763">
        <w:rPr>
          <w:rFonts w:cs="Arial"/>
          <w:sz w:val="24"/>
          <w:szCs w:val="24"/>
          <w:lang w:val="fr-CA"/>
        </w:rPr>
        <w:t xml:space="preserve">. </w:t>
      </w:r>
      <w:r w:rsidR="009F0759" w:rsidRPr="00CB1763">
        <w:rPr>
          <w:rFonts w:cs="Arial"/>
          <w:sz w:val="24"/>
          <w:szCs w:val="24"/>
          <w:lang w:val="fr-CA"/>
        </w:rPr>
        <w:t>Il appartient au comité d’appel de déterminer</w:t>
      </w:r>
      <w:r w:rsidR="002B3107" w:rsidRPr="00CB1763">
        <w:rPr>
          <w:rFonts w:cs="Arial"/>
          <w:sz w:val="24"/>
          <w:szCs w:val="24"/>
          <w:lang w:val="fr-CA"/>
        </w:rPr>
        <w:t xml:space="preserve"> </w:t>
      </w:r>
      <w:r w:rsidR="009F0759" w:rsidRPr="00CB1763">
        <w:rPr>
          <w:rFonts w:cs="Arial"/>
          <w:sz w:val="24"/>
          <w:szCs w:val="24"/>
          <w:lang w:val="fr-CA"/>
        </w:rPr>
        <w:t xml:space="preserve">si le délai d’appel doit être prolongé </w:t>
      </w:r>
      <w:r w:rsidR="008819E3" w:rsidRPr="00CB1763">
        <w:rPr>
          <w:rFonts w:cs="Arial"/>
          <w:sz w:val="24"/>
          <w:szCs w:val="24"/>
          <w:lang w:val="fr-CA"/>
        </w:rPr>
        <w:t>selon les faits propres à chaque cas.</w:t>
      </w:r>
    </w:p>
    <w:p w:rsidR="002B3107" w:rsidRPr="00CB1763" w:rsidRDefault="002B3107" w:rsidP="003576E5">
      <w:pPr>
        <w:pStyle w:val="ListParagraph"/>
        <w:rPr>
          <w:rFonts w:cs="Arial"/>
          <w:sz w:val="24"/>
          <w:szCs w:val="24"/>
          <w:lang w:val="fr-CA"/>
        </w:rPr>
      </w:pPr>
    </w:p>
    <w:p w:rsidR="002B3107" w:rsidRPr="00CB1763" w:rsidRDefault="004572DC" w:rsidP="001777DE">
      <w:pPr>
        <w:pStyle w:val="ListParagraph"/>
        <w:numPr>
          <w:ilvl w:val="0"/>
          <w:numId w:val="8"/>
        </w:numPr>
        <w:spacing w:before="240" w:after="240"/>
        <w:ind w:left="360"/>
        <w:rPr>
          <w:rFonts w:cs="Arial"/>
          <w:sz w:val="24"/>
          <w:szCs w:val="24"/>
          <w:lang w:val="fr-CA"/>
        </w:rPr>
      </w:pPr>
      <w:r w:rsidRPr="00CB1763">
        <w:rPr>
          <w:rFonts w:cs="Arial"/>
          <w:sz w:val="24"/>
          <w:szCs w:val="24"/>
          <w:lang w:val="fr-CA"/>
        </w:rPr>
        <w:t>Si un athlète dispose de nouvelles informations qui selon lui le rendent admissible à compétitionner dans une autre catégorie, cet athlète devrait être autorisé à formuler une nouvelle demande de classification</w:t>
      </w:r>
      <w:r w:rsidR="00824E5F" w:rsidRPr="00CB1763">
        <w:rPr>
          <w:rFonts w:cs="Arial"/>
          <w:sz w:val="24"/>
          <w:szCs w:val="24"/>
          <w:lang w:val="fr-CA"/>
        </w:rPr>
        <w:t>. Un tribunal d’appel ne peut que se prononcer en fonction des informations fournies en première instance</w:t>
      </w:r>
      <w:r w:rsidR="002B3107" w:rsidRPr="00CB1763">
        <w:rPr>
          <w:rFonts w:cs="Arial"/>
          <w:sz w:val="24"/>
          <w:szCs w:val="24"/>
          <w:lang w:val="fr-CA"/>
        </w:rPr>
        <w:t xml:space="preserve"> </w:t>
      </w:r>
      <w:r w:rsidR="00824E5F" w:rsidRPr="00CB1763">
        <w:rPr>
          <w:rFonts w:cs="Arial"/>
          <w:sz w:val="24"/>
          <w:szCs w:val="24"/>
          <w:lang w:val="fr-CA"/>
        </w:rPr>
        <w:t xml:space="preserve">à moins que le comité de classification lui permette de prendre en considération de nouvelles informations </w:t>
      </w:r>
      <w:r w:rsidR="00E4576C" w:rsidRPr="00CB1763">
        <w:rPr>
          <w:rFonts w:cs="Arial"/>
          <w:sz w:val="24"/>
          <w:szCs w:val="24"/>
          <w:lang w:val="fr-CA"/>
        </w:rPr>
        <w:t>ou nouvelles preuves.</w:t>
      </w:r>
    </w:p>
    <w:p w:rsidR="004715E9" w:rsidRPr="00CB1763" w:rsidRDefault="00B47D10" w:rsidP="001777DE">
      <w:pPr>
        <w:pStyle w:val="Heading1"/>
        <w:numPr>
          <w:ilvl w:val="0"/>
          <w:numId w:val="10"/>
        </w:numPr>
        <w:spacing w:before="240" w:after="240"/>
        <w:ind w:left="360" w:hanging="360"/>
        <w:rPr>
          <w:rFonts w:eastAsia="Times New Roman"/>
          <w:lang w:val="fr-CA"/>
        </w:rPr>
      </w:pPr>
      <w:bookmarkStart w:id="34" w:name="_Toc368318366"/>
      <w:r w:rsidRPr="00CB1763">
        <w:rPr>
          <w:rFonts w:eastAsia="Times New Roman"/>
          <w:lang w:val="fr-CA"/>
        </w:rPr>
        <w:t>Norme i</w:t>
      </w:r>
      <w:r w:rsidR="004715E9" w:rsidRPr="00CB1763">
        <w:rPr>
          <w:rFonts w:eastAsia="Times New Roman"/>
          <w:lang w:val="fr-CA"/>
        </w:rPr>
        <w:t>nternational</w:t>
      </w:r>
      <w:r w:rsidRPr="00CB1763">
        <w:rPr>
          <w:rFonts w:eastAsia="Times New Roman"/>
          <w:lang w:val="fr-CA"/>
        </w:rPr>
        <w:t xml:space="preserve">e </w:t>
      </w:r>
      <w:r w:rsidR="004715E9" w:rsidRPr="00CB1763">
        <w:rPr>
          <w:rFonts w:eastAsia="Times New Roman"/>
          <w:lang w:val="fr-CA"/>
        </w:rPr>
        <w:t>: C</w:t>
      </w:r>
      <w:r w:rsidRPr="00CB1763">
        <w:rPr>
          <w:rFonts w:eastAsia="Times New Roman"/>
          <w:lang w:val="fr-CA"/>
        </w:rPr>
        <w:t>ertification et formation du personnel de c</w:t>
      </w:r>
      <w:r w:rsidR="004715E9" w:rsidRPr="00CB1763">
        <w:rPr>
          <w:rFonts w:eastAsia="Times New Roman"/>
          <w:lang w:val="fr-CA"/>
        </w:rPr>
        <w:t>lassifi</w:t>
      </w:r>
      <w:r w:rsidRPr="00CB1763">
        <w:rPr>
          <w:rFonts w:eastAsia="Times New Roman"/>
          <w:lang w:val="fr-CA"/>
        </w:rPr>
        <w:t>cation</w:t>
      </w:r>
      <w:bookmarkEnd w:id="34"/>
    </w:p>
    <w:p w:rsidR="004715E9" w:rsidRPr="00CB1763" w:rsidRDefault="004715E9" w:rsidP="001777DE">
      <w:pPr>
        <w:pStyle w:val="Heading2"/>
        <w:numPr>
          <w:ilvl w:val="0"/>
          <w:numId w:val="11"/>
        </w:numPr>
        <w:rPr>
          <w:rFonts w:eastAsia="Times New Roman"/>
          <w:lang w:val="fr-CA"/>
        </w:rPr>
      </w:pPr>
      <w:bookmarkStart w:id="35" w:name="_Toc368318367"/>
      <w:r w:rsidRPr="00CB1763">
        <w:rPr>
          <w:rFonts w:eastAsia="Times New Roman"/>
          <w:lang w:val="fr-CA"/>
        </w:rPr>
        <w:t>Comment</w:t>
      </w:r>
      <w:r w:rsidR="001418E1" w:rsidRPr="00CB1763">
        <w:rPr>
          <w:rFonts w:eastAsia="Times New Roman"/>
          <w:lang w:val="fr-CA"/>
        </w:rPr>
        <w:t>aire</w:t>
      </w:r>
      <w:r w:rsidRPr="00CB1763">
        <w:rPr>
          <w:rFonts w:eastAsia="Times New Roman"/>
          <w:lang w:val="fr-CA"/>
        </w:rPr>
        <w:t>s</w:t>
      </w:r>
      <w:bookmarkEnd w:id="35"/>
      <w:r w:rsidR="001418E1" w:rsidRPr="00CB1763">
        <w:rPr>
          <w:rFonts w:eastAsia="Times New Roman"/>
          <w:lang w:val="fr-CA"/>
        </w:rPr>
        <w:t xml:space="preserve"> généraux</w:t>
      </w:r>
    </w:p>
    <w:p w:rsidR="004715E9" w:rsidRPr="00CB1763" w:rsidRDefault="00CB117C" w:rsidP="001777DE">
      <w:pPr>
        <w:pStyle w:val="ListParagraph"/>
        <w:numPr>
          <w:ilvl w:val="0"/>
          <w:numId w:val="8"/>
        </w:numPr>
        <w:spacing w:before="240" w:after="240"/>
        <w:ind w:left="360"/>
        <w:rPr>
          <w:rFonts w:cs="Arial"/>
          <w:sz w:val="24"/>
          <w:szCs w:val="24"/>
          <w:lang w:val="fr-CA"/>
        </w:rPr>
      </w:pPr>
      <w:r w:rsidRPr="00CB1763">
        <w:rPr>
          <w:rFonts w:cs="Arial"/>
          <w:sz w:val="24"/>
          <w:szCs w:val="24"/>
          <w:lang w:val="fr-CA"/>
        </w:rPr>
        <w:t>L’un des points les plus importants, dans le cadre de cette nouvelle nor</w:t>
      </w:r>
      <w:r w:rsidR="00F317CF" w:rsidRPr="00CB1763">
        <w:rPr>
          <w:rFonts w:cs="Arial"/>
          <w:sz w:val="24"/>
          <w:szCs w:val="24"/>
          <w:lang w:val="fr-CA"/>
        </w:rPr>
        <w:t>me, est la disparité qui existe quant à la disponibilité de responsables de la classification dûment qualifiés</w:t>
      </w:r>
      <w:r w:rsidR="004715E9" w:rsidRPr="00CB1763">
        <w:rPr>
          <w:rFonts w:cs="Arial"/>
          <w:sz w:val="24"/>
          <w:szCs w:val="24"/>
          <w:lang w:val="fr-CA"/>
        </w:rPr>
        <w:t xml:space="preserve"> </w:t>
      </w:r>
      <w:r w:rsidR="00421A38" w:rsidRPr="00CB1763">
        <w:rPr>
          <w:rFonts w:cs="Arial"/>
          <w:sz w:val="24"/>
          <w:szCs w:val="24"/>
          <w:lang w:val="fr-CA"/>
        </w:rPr>
        <w:t>dans différents pays du monde.</w:t>
      </w:r>
      <w:r w:rsidR="004715E9" w:rsidRPr="00CB1763">
        <w:rPr>
          <w:rFonts w:cs="Arial"/>
          <w:sz w:val="24"/>
          <w:szCs w:val="24"/>
          <w:lang w:val="fr-CA"/>
        </w:rPr>
        <w:t xml:space="preserve"> </w:t>
      </w:r>
      <w:r w:rsidR="00B658D6" w:rsidRPr="00CB1763">
        <w:rPr>
          <w:rFonts w:cs="Arial"/>
          <w:sz w:val="24"/>
          <w:szCs w:val="24"/>
          <w:lang w:val="fr-CA"/>
        </w:rPr>
        <w:t>Les pays en développement</w:t>
      </w:r>
      <w:r w:rsidR="004715E9" w:rsidRPr="00CB1763">
        <w:rPr>
          <w:rFonts w:cs="Arial"/>
          <w:sz w:val="24"/>
          <w:szCs w:val="24"/>
          <w:lang w:val="fr-CA"/>
        </w:rPr>
        <w:t xml:space="preserve"> </w:t>
      </w:r>
      <w:r w:rsidR="00B658D6" w:rsidRPr="00CB1763">
        <w:rPr>
          <w:rFonts w:cs="Arial"/>
          <w:sz w:val="24"/>
          <w:szCs w:val="24"/>
          <w:lang w:val="fr-CA"/>
        </w:rPr>
        <w:t>en ont très peu</w:t>
      </w:r>
      <w:r w:rsidR="00D41A22">
        <w:rPr>
          <w:rFonts w:cs="Arial"/>
          <w:sz w:val="24"/>
          <w:szCs w:val="24"/>
          <w:lang w:val="fr-CA"/>
        </w:rPr>
        <w:t>,</w:t>
      </w:r>
      <w:r w:rsidR="00B658D6" w:rsidRPr="00CB1763">
        <w:rPr>
          <w:rFonts w:cs="Arial"/>
          <w:sz w:val="24"/>
          <w:szCs w:val="24"/>
          <w:lang w:val="fr-CA"/>
        </w:rPr>
        <w:t xml:space="preserve"> ce qui compromet grandement leurs chances de repérer de nouveaux talents.</w:t>
      </w:r>
      <w:r w:rsidR="004715E9" w:rsidRPr="00CB1763">
        <w:rPr>
          <w:rFonts w:cs="Arial"/>
          <w:sz w:val="24"/>
          <w:szCs w:val="24"/>
          <w:lang w:val="fr-CA"/>
        </w:rPr>
        <w:t xml:space="preserve"> </w:t>
      </w:r>
      <w:r w:rsidR="00B658D6" w:rsidRPr="00CB1763">
        <w:rPr>
          <w:rFonts w:cs="Arial"/>
          <w:sz w:val="24"/>
          <w:szCs w:val="24"/>
          <w:lang w:val="fr-CA"/>
        </w:rPr>
        <w:t xml:space="preserve">Et même dans les pays développés, la pénurie de personnel </w:t>
      </w:r>
      <w:r w:rsidR="00106E08" w:rsidRPr="00CB1763">
        <w:rPr>
          <w:rFonts w:cs="Arial"/>
          <w:sz w:val="24"/>
          <w:szCs w:val="24"/>
          <w:lang w:val="fr-CA"/>
        </w:rPr>
        <w:t>est évidente</w:t>
      </w:r>
      <w:r w:rsidR="006E7832" w:rsidRPr="00CB1763">
        <w:rPr>
          <w:rFonts w:cs="Arial"/>
          <w:sz w:val="24"/>
          <w:szCs w:val="24"/>
          <w:lang w:val="fr-CA"/>
        </w:rPr>
        <w:t>.</w:t>
      </w:r>
      <w:r w:rsidR="004715E9" w:rsidRPr="00CB1763">
        <w:rPr>
          <w:rFonts w:cs="Arial"/>
          <w:sz w:val="24"/>
          <w:szCs w:val="24"/>
          <w:lang w:val="fr-CA"/>
        </w:rPr>
        <w:t xml:space="preserve"> </w:t>
      </w:r>
      <w:r w:rsidR="00106E08" w:rsidRPr="00CB1763">
        <w:rPr>
          <w:rFonts w:cs="Arial"/>
          <w:sz w:val="24"/>
          <w:szCs w:val="24"/>
          <w:lang w:val="fr-CA"/>
        </w:rPr>
        <w:t>Au Canada, par exe</w:t>
      </w:r>
      <w:r w:rsidR="004715E9" w:rsidRPr="00CB1763">
        <w:rPr>
          <w:rFonts w:cs="Arial"/>
          <w:sz w:val="24"/>
          <w:szCs w:val="24"/>
          <w:lang w:val="fr-CA"/>
        </w:rPr>
        <w:t xml:space="preserve">mple, </w:t>
      </w:r>
      <w:r w:rsidR="00212237" w:rsidRPr="00CB1763">
        <w:rPr>
          <w:rFonts w:cs="Arial"/>
          <w:sz w:val="24"/>
          <w:szCs w:val="24"/>
          <w:lang w:val="fr-CA"/>
        </w:rPr>
        <w:t>il n’y en a que deux à la grandeur du pays, alors qu’en</w:t>
      </w:r>
      <w:r w:rsidR="004715E9" w:rsidRPr="00CB1763">
        <w:rPr>
          <w:rFonts w:cs="Arial"/>
          <w:sz w:val="24"/>
          <w:szCs w:val="24"/>
          <w:lang w:val="fr-CA"/>
        </w:rPr>
        <w:t xml:space="preserve"> Europe</w:t>
      </w:r>
      <w:r w:rsidR="00212237" w:rsidRPr="00CB1763">
        <w:rPr>
          <w:rFonts w:cs="Arial"/>
          <w:sz w:val="24"/>
          <w:szCs w:val="24"/>
          <w:lang w:val="fr-CA"/>
        </w:rPr>
        <w:t>, la situation semble moins problématique.</w:t>
      </w:r>
      <w:r w:rsidR="004715E9" w:rsidRPr="00CB1763">
        <w:rPr>
          <w:rFonts w:cs="Arial"/>
          <w:sz w:val="24"/>
          <w:szCs w:val="24"/>
          <w:lang w:val="fr-CA"/>
        </w:rPr>
        <w:t xml:space="preserve"> </w:t>
      </w:r>
      <w:r w:rsidR="00AD7FA6" w:rsidRPr="00CB1763">
        <w:rPr>
          <w:rFonts w:cs="Arial"/>
          <w:sz w:val="24"/>
          <w:szCs w:val="24"/>
          <w:lang w:val="fr-CA"/>
        </w:rPr>
        <w:t xml:space="preserve">Peu importe, le CIP et les FI </w:t>
      </w:r>
      <w:r w:rsidR="00AD7FA6" w:rsidRPr="00CB1763">
        <w:rPr>
          <w:rFonts w:cs="Arial"/>
          <w:sz w:val="24"/>
          <w:szCs w:val="24"/>
          <w:lang w:val="fr-CA"/>
        </w:rPr>
        <w:lastRenderedPageBreak/>
        <w:t>doivent chercher à atténuer ces disparités, pour que le</w:t>
      </w:r>
      <w:r w:rsidR="004715E9" w:rsidRPr="00CB1763">
        <w:rPr>
          <w:rFonts w:cs="Arial"/>
          <w:sz w:val="24"/>
          <w:szCs w:val="24"/>
          <w:lang w:val="fr-CA"/>
        </w:rPr>
        <w:t xml:space="preserve"> Code</w:t>
      </w:r>
      <w:r w:rsidR="00AD7FA6" w:rsidRPr="00CB1763">
        <w:rPr>
          <w:rFonts w:cs="Arial"/>
          <w:sz w:val="24"/>
          <w:szCs w:val="24"/>
          <w:lang w:val="fr-CA"/>
        </w:rPr>
        <w:t xml:space="preserve"> et les normes complémentaires puissent être</w:t>
      </w:r>
      <w:r w:rsidR="004715E9" w:rsidRPr="00CB1763">
        <w:rPr>
          <w:rFonts w:cs="Arial"/>
          <w:sz w:val="24"/>
          <w:szCs w:val="24"/>
          <w:lang w:val="fr-CA"/>
        </w:rPr>
        <w:t xml:space="preserve"> </w:t>
      </w:r>
      <w:r w:rsidR="00AD7FA6" w:rsidRPr="00CB1763">
        <w:rPr>
          <w:rFonts w:cs="Arial"/>
          <w:sz w:val="24"/>
          <w:szCs w:val="24"/>
          <w:lang w:val="fr-CA"/>
        </w:rPr>
        <w:t>mis en pratique et appliqués correctement</w:t>
      </w:r>
      <w:r w:rsidR="004715E9" w:rsidRPr="00CB1763">
        <w:rPr>
          <w:rFonts w:cs="Arial"/>
          <w:sz w:val="24"/>
          <w:szCs w:val="24"/>
          <w:lang w:val="fr-CA"/>
        </w:rPr>
        <w:t>.</w:t>
      </w:r>
    </w:p>
    <w:p w:rsidR="004715E9" w:rsidRPr="00CB1763" w:rsidRDefault="004715E9" w:rsidP="001777DE">
      <w:pPr>
        <w:pStyle w:val="Heading2"/>
        <w:numPr>
          <w:ilvl w:val="0"/>
          <w:numId w:val="11"/>
        </w:numPr>
        <w:spacing w:before="240" w:after="240"/>
        <w:rPr>
          <w:rFonts w:eastAsia="Times New Roman"/>
          <w:lang w:val="fr-CA"/>
        </w:rPr>
      </w:pPr>
      <w:bookmarkStart w:id="36" w:name="_Toc368318368"/>
      <w:r w:rsidRPr="00CB1763">
        <w:rPr>
          <w:rFonts w:eastAsia="Times New Roman"/>
          <w:lang w:val="fr-CA"/>
        </w:rPr>
        <w:t>Personnel</w:t>
      </w:r>
      <w:r w:rsidR="00D846F9" w:rsidRPr="00CB1763">
        <w:rPr>
          <w:rFonts w:eastAsia="Times New Roman"/>
          <w:lang w:val="fr-CA"/>
        </w:rPr>
        <w:t xml:space="preserve"> de classification</w:t>
      </w:r>
      <w:r w:rsidRPr="00CB1763">
        <w:rPr>
          <w:rFonts w:eastAsia="Times New Roman"/>
          <w:lang w:val="fr-CA"/>
        </w:rPr>
        <w:t xml:space="preserve"> (</w:t>
      </w:r>
      <w:r w:rsidR="00D846F9" w:rsidRPr="00CB1763">
        <w:rPr>
          <w:rFonts w:eastAsia="Times New Roman"/>
          <w:lang w:val="fr-CA"/>
        </w:rPr>
        <w:t>Norme i</w:t>
      </w:r>
      <w:r w:rsidRPr="00CB1763">
        <w:rPr>
          <w:rFonts w:eastAsia="Times New Roman"/>
          <w:lang w:val="fr-CA"/>
        </w:rPr>
        <w:t>nternational</w:t>
      </w:r>
      <w:r w:rsidR="00D846F9" w:rsidRPr="00CB1763">
        <w:rPr>
          <w:rFonts w:eastAsia="Times New Roman"/>
          <w:lang w:val="fr-CA"/>
        </w:rPr>
        <w:t xml:space="preserve">e : </w:t>
      </w:r>
      <w:r w:rsidRPr="00CB1763">
        <w:rPr>
          <w:rFonts w:eastAsia="Times New Roman"/>
          <w:lang w:val="fr-CA"/>
        </w:rPr>
        <w:t>Certification</w:t>
      </w:r>
      <w:r w:rsidR="00D846F9" w:rsidRPr="00CB1763">
        <w:rPr>
          <w:rFonts w:eastAsia="Times New Roman"/>
          <w:lang w:val="fr-CA"/>
        </w:rPr>
        <w:t xml:space="preserve"> et formation du personnel de classification,</w:t>
      </w:r>
      <w:r w:rsidRPr="00CB1763">
        <w:rPr>
          <w:rFonts w:eastAsia="Times New Roman"/>
          <w:lang w:val="fr-CA"/>
        </w:rPr>
        <w:t xml:space="preserve"> Section 1)</w:t>
      </w:r>
      <w:bookmarkEnd w:id="36"/>
    </w:p>
    <w:p w:rsidR="004715E9" w:rsidRPr="00CB1763" w:rsidRDefault="00A607EF" w:rsidP="001777DE">
      <w:pPr>
        <w:pStyle w:val="ListParagraph"/>
        <w:numPr>
          <w:ilvl w:val="0"/>
          <w:numId w:val="8"/>
        </w:numPr>
        <w:ind w:left="360"/>
        <w:rPr>
          <w:rFonts w:cs="Arial"/>
          <w:sz w:val="24"/>
          <w:szCs w:val="24"/>
          <w:lang w:val="fr-CA"/>
        </w:rPr>
      </w:pPr>
      <w:r w:rsidRPr="00CB1763">
        <w:rPr>
          <w:rFonts w:cs="Arial"/>
          <w:sz w:val="24"/>
          <w:szCs w:val="24"/>
          <w:lang w:val="fr-CA"/>
        </w:rPr>
        <w:t xml:space="preserve">La </w:t>
      </w:r>
      <w:r w:rsidR="004715E9" w:rsidRPr="00CB1763">
        <w:rPr>
          <w:rFonts w:cs="Arial"/>
          <w:sz w:val="24"/>
          <w:szCs w:val="24"/>
          <w:lang w:val="fr-CA"/>
        </w:rPr>
        <w:t xml:space="preserve">Section 1.3 </w:t>
      </w:r>
      <w:r w:rsidRPr="00CB1763">
        <w:rPr>
          <w:rFonts w:cs="Arial"/>
          <w:sz w:val="24"/>
          <w:szCs w:val="24"/>
          <w:lang w:val="fr-CA"/>
        </w:rPr>
        <w:t xml:space="preserve">de cette norme devrait être modifiée </w:t>
      </w:r>
      <w:r w:rsidR="008D33F8" w:rsidRPr="00CB1763">
        <w:rPr>
          <w:rFonts w:cs="Arial"/>
          <w:sz w:val="24"/>
          <w:szCs w:val="24"/>
          <w:lang w:val="fr-CA"/>
        </w:rPr>
        <w:t>pour exiger du chef de la classification</w:t>
      </w:r>
      <w:r w:rsidR="004715E9" w:rsidRPr="00CB1763">
        <w:rPr>
          <w:rFonts w:cs="Arial"/>
          <w:sz w:val="24"/>
          <w:szCs w:val="24"/>
          <w:lang w:val="fr-CA"/>
        </w:rPr>
        <w:t xml:space="preserve"> </w:t>
      </w:r>
      <w:r w:rsidR="008D33F8" w:rsidRPr="00CB1763">
        <w:rPr>
          <w:rFonts w:cs="Arial"/>
          <w:sz w:val="24"/>
          <w:szCs w:val="24"/>
          <w:lang w:val="fr-CA"/>
        </w:rPr>
        <w:t>qu’il donne son approbation écrite</w:t>
      </w:r>
      <w:r w:rsidR="004715E9" w:rsidRPr="00CB1763">
        <w:rPr>
          <w:rFonts w:cs="Arial"/>
          <w:sz w:val="24"/>
          <w:szCs w:val="24"/>
          <w:lang w:val="fr-CA"/>
        </w:rPr>
        <w:t xml:space="preserve"> </w:t>
      </w:r>
      <w:r w:rsidR="008D33F8" w:rsidRPr="00CB1763">
        <w:rPr>
          <w:rFonts w:cs="Arial"/>
          <w:sz w:val="24"/>
          <w:szCs w:val="24"/>
          <w:lang w:val="fr-CA"/>
        </w:rPr>
        <w:t>à l’attribution d’une catégorie à un athlète en particulier</w:t>
      </w:r>
      <w:r w:rsidRPr="00CB1763">
        <w:rPr>
          <w:rFonts w:cs="Arial"/>
          <w:sz w:val="24"/>
          <w:szCs w:val="24"/>
          <w:lang w:val="fr-CA"/>
        </w:rPr>
        <w:t xml:space="preserve">. </w:t>
      </w:r>
      <w:r w:rsidR="00BE1F12" w:rsidRPr="00CB1763">
        <w:rPr>
          <w:rFonts w:cs="Arial"/>
          <w:sz w:val="24"/>
          <w:szCs w:val="24"/>
          <w:lang w:val="fr-CA"/>
        </w:rPr>
        <w:t>Cela permettra d’effectuer un examen encore plus détaillé du travail du comité de classification et devrait permettre d’éviter un certain nombre de protêts et d’appels.</w:t>
      </w:r>
      <w:r w:rsidR="004715E9" w:rsidRPr="00CB1763">
        <w:rPr>
          <w:rFonts w:cs="Arial"/>
          <w:sz w:val="24"/>
          <w:szCs w:val="24"/>
          <w:lang w:val="fr-CA"/>
        </w:rPr>
        <w:t xml:space="preserve"> </w:t>
      </w:r>
      <w:r w:rsidR="0061139D" w:rsidRPr="00CB1763">
        <w:rPr>
          <w:rFonts w:cs="Arial"/>
          <w:sz w:val="24"/>
          <w:szCs w:val="24"/>
          <w:lang w:val="fr-CA"/>
        </w:rPr>
        <w:t>Le chef de la classification sera également en mesure d’identifier les lacunes en ce qui a trait à la formation du personnel de classification et de prendre les mesures qui s’imposent sans pour autant priver les athlètes de leurs droits.</w:t>
      </w:r>
    </w:p>
    <w:p w:rsidR="001777DE" w:rsidRPr="00CB1763" w:rsidRDefault="001777DE" w:rsidP="001777DE">
      <w:pPr>
        <w:pStyle w:val="ListParagraph"/>
        <w:spacing w:before="240" w:after="240"/>
        <w:rPr>
          <w:rFonts w:cs="Arial"/>
          <w:sz w:val="24"/>
          <w:szCs w:val="24"/>
          <w:lang w:val="fr-CA"/>
        </w:rPr>
      </w:pPr>
    </w:p>
    <w:p w:rsidR="004715E9" w:rsidRPr="00CB1763" w:rsidRDefault="00762776" w:rsidP="001777DE">
      <w:pPr>
        <w:pStyle w:val="ListParagraph"/>
        <w:numPr>
          <w:ilvl w:val="0"/>
          <w:numId w:val="8"/>
        </w:numPr>
        <w:spacing w:before="240" w:after="240"/>
        <w:ind w:left="360"/>
        <w:rPr>
          <w:rFonts w:cs="Arial"/>
          <w:sz w:val="24"/>
          <w:szCs w:val="24"/>
          <w:lang w:val="fr-CA"/>
        </w:rPr>
      </w:pPr>
      <w:r w:rsidRPr="00CB1763">
        <w:rPr>
          <w:rFonts w:cs="Arial"/>
          <w:sz w:val="24"/>
          <w:szCs w:val="24"/>
          <w:lang w:val="fr-CA"/>
        </w:rPr>
        <w:t>L’A</w:t>
      </w:r>
      <w:r w:rsidR="001422C9" w:rsidRPr="00CB1763">
        <w:rPr>
          <w:rFonts w:cs="Arial"/>
          <w:sz w:val="24"/>
          <w:szCs w:val="24"/>
          <w:lang w:val="fr-CA"/>
        </w:rPr>
        <w:t>CSA</w:t>
      </w:r>
      <w:r w:rsidR="004715E9" w:rsidRPr="00CB1763">
        <w:rPr>
          <w:rFonts w:cs="Arial"/>
          <w:sz w:val="24"/>
          <w:szCs w:val="24"/>
          <w:lang w:val="fr-CA"/>
        </w:rPr>
        <w:t xml:space="preserve"> </w:t>
      </w:r>
      <w:r w:rsidR="001422C9" w:rsidRPr="00CB1763">
        <w:rPr>
          <w:rFonts w:cs="Arial"/>
          <w:sz w:val="24"/>
          <w:szCs w:val="24"/>
          <w:lang w:val="fr-CA"/>
        </w:rPr>
        <w:t>est d’avis que le type de personnel habilité à faire partie d’un comité de classification, tel que défini à la S</w:t>
      </w:r>
      <w:r w:rsidR="004715E9" w:rsidRPr="00CB1763">
        <w:rPr>
          <w:rFonts w:cs="Arial"/>
          <w:sz w:val="24"/>
          <w:szCs w:val="24"/>
          <w:lang w:val="fr-CA"/>
        </w:rPr>
        <w:t>ection 1.6</w:t>
      </w:r>
      <w:r w:rsidR="001422C9" w:rsidRPr="00CB1763">
        <w:rPr>
          <w:rFonts w:cs="Arial"/>
          <w:sz w:val="24"/>
          <w:szCs w:val="24"/>
          <w:lang w:val="fr-CA"/>
        </w:rPr>
        <w:t>, devrait être élargi pour faire place à des spécialistes</w:t>
      </w:r>
      <w:r w:rsidR="004715E9" w:rsidRPr="00CB1763">
        <w:rPr>
          <w:rFonts w:cs="Arial"/>
          <w:sz w:val="24"/>
          <w:szCs w:val="24"/>
          <w:lang w:val="fr-CA"/>
        </w:rPr>
        <w:t xml:space="preserve"> </w:t>
      </w:r>
      <w:r w:rsidR="001422C9" w:rsidRPr="00CB1763">
        <w:rPr>
          <w:rFonts w:cs="Arial"/>
          <w:sz w:val="24"/>
          <w:szCs w:val="24"/>
          <w:lang w:val="fr-CA"/>
        </w:rPr>
        <w:t>de l’enseignement auprès d’athlète</w:t>
      </w:r>
      <w:r w:rsidR="00D41A22">
        <w:rPr>
          <w:rFonts w:cs="Arial"/>
          <w:sz w:val="24"/>
          <w:szCs w:val="24"/>
          <w:lang w:val="fr-CA"/>
        </w:rPr>
        <w:t>s ayant une déficience visuelle :</w:t>
      </w:r>
      <w:r w:rsidR="001422C9" w:rsidRPr="00CB1763">
        <w:rPr>
          <w:rFonts w:cs="Arial"/>
          <w:sz w:val="24"/>
          <w:szCs w:val="24"/>
          <w:lang w:val="fr-CA"/>
        </w:rPr>
        <w:t xml:space="preserve"> </w:t>
      </w:r>
      <w:r w:rsidR="00D41A22">
        <w:rPr>
          <w:rFonts w:cs="Arial"/>
          <w:sz w:val="24"/>
          <w:szCs w:val="24"/>
          <w:lang w:val="fr-CA"/>
        </w:rPr>
        <w:t>p</w:t>
      </w:r>
      <w:r w:rsidR="00DD0072" w:rsidRPr="00CB1763">
        <w:rPr>
          <w:rFonts w:cs="Arial"/>
          <w:sz w:val="24"/>
          <w:szCs w:val="24"/>
          <w:lang w:val="fr-CA"/>
        </w:rPr>
        <w:t>armi eux, des enseignants spécialisés</w:t>
      </w:r>
      <w:r w:rsidR="004715E9" w:rsidRPr="00CB1763">
        <w:rPr>
          <w:rFonts w:cs="Arial"/>
          <w:sz w:val="24"/>
          <w:szCs w:val="24"/>
          <w:lang w:val="fr-CA"/>
        </w:rPr>
        <w:t xml:space="preserve">, </w:t>
      </w:r>
      <w:r w:rsidR="00DD0072" w:rsidRPr="00CB1763">
        <w:rPr>
          <w:rFonts w:cs="Arial"/>
          <w:sz w:val="24"/>
          <w:szCs w:val="24"/>
          <w:lang w:val="fr-CA"/>
        </w:rPr>
        <w:t xml:space="preserve">des professeurs spécialisés en réadaptation pour personnes ayant une déficience visuelle et des conseillers en orientation et mobilité. </w:t>
      </w:r>
      <w:r w:rsidR="00063D84" w:rsidRPr="00CB1763">
        <w:rPr>
          <w:rFonts w:cs="Arial"/>
          <w:sz w:val="24"/>
          <w:szCs w:val="24"/>
          <w:lang w:val="fr-CA"/>
        </w:rPr>
        <w:t>Ces gens sont les mieux placés pour</w:t>
      </w:r>
      <w:r w:rsidR="004715E9" w:rsidRPr="00CB1763">
        <w:rPr>
          <w:rFonts w:cs="Arial"/>
          <w:sz w:val="24"/>
          <w:szCs w:val="24"/>
          <w:lang w:val="fr-CA"/>
        </w:rPr>
        <w:t xml:space="preserve"> </w:t>
      </w:r>
      <w:r w:rsidR="00063D84" w:rsidRPr="00CB1763">
        <w:rPr>
          <w:rFonts w:cs="Arial"/>
          <w:sz w:val="24"/>
          <w:szCs w:val="24"/>
          <w:lang w:val="fr-CA"/>
        </w:rPr>
        <w:t>déterminer dans quelle mesure une déficience visuelle a un impact sur la vie quotidienne d’un athlète.</w:t>
      </w:r>
      <w:r w:rsidR="004715E9" w:rsidRPr="00CB1763">
        <w:rPr>
          <w:rFonts w:cs="Arial"/>
          <w:sz w:val="24"/>
          <w:szCs w:val="24"/>
          <w:lang w:val="fr-CA"/>
        </w:rPr>
        <w:t xml:space="preserve"> </w:t>
      </w:r>
      <w:r w:rsidR="00063D84" w:rsidRPr="00CB1763">
        <w:rPr>
          <w:rFonts w:cs="Arial"/>
          <w:sz w:val="24"/>
          <w:szCs w:val="24"/>
          <w:lang w:val="fr-CA"/>
        </w:rPr>
        <w:t>Un physiothérapeute ou un ergothérapeute n’a pas les compétences voulues ni l’expérience nécessaire pour faire ce type d’évaluation dans un tel contexte</w:t>
      </w:r>
      <w:r w:rsidR="001422C9" w:rsidRPr="00CB1763">
        <w:rPr>
          <w:rFonts w:cs="Arial"/>
          <w:sz w:val="24"/>
          <w:szCs w:val="24"/>
          <w:lang w:val="fr-CA"/>
        </w:rPr>
        <w:t>.</w:t>
      </w:r>
    </w:p>
    <w:p w:rsidR="004715E9" w:rsidRPr="00CB1763" w:rsidRDefault="004715E9" w:rsidP="001777DE">
      <w:pPr>
        <w:pStyle w:val="Heading2"/>
        <w:numPr>
          <w:ilvl w:val="0"/>
          <w:numId w:val="11"/>
        </w:numPr>
        <w:ind w:left="450" w:hanging="450"/>
        <w:rPr>
          <w:rFonts w:eastAsia="Times New Roman"/>
          <w:lang w:val="fr-CA"/>
        </w:rPr>
      </w:pPr>
      <w:bookmarkStart w:id="37" w:name="_Toc368318369"/>
      <w:r w:rsidRPr="00CB1763">
        <w:rPr>
          <w:rFonts w:eastAsia="Times New Roman"/>
          <w:lang w:val="fr-CA"/>
        </w:rPr>
        <w:t>Certification</w:t>
      </w:r>
      <w:r w:rsidR="00394406" w:rsidRPr="00CB1763">
        <w:rPr>
          <w:rFonts w:eastAsia="Times New Roman"/>
          <w:lang w:val="fr-CA"/>
        </w:rPr>
        <w:t xml:space="preserve"> du personnel de classification</w:t>
      </w:r>
      <w:r w:rsidRPr="00CB1763">
        <w:rPr>
          <w:rFonts w:eastAsia="Times New Roman"/>
          <w:lang w:val="fr-CA"/>
        </w:rPr>
        <w:t xml:space="preserve"> (</w:t>
      </w:r>
      <w:r w:rsidR="00394406" w:rsidRPr="00CB1763">
        <w:rPr>
          <w:rFonts w:eastAsia="Times New Roman"/>
          <w:lang w:val="fr-CA"/>
        </w:rPr>
        <w:t xml:space="preserve">Norme internationale : Certification et formation du personnel de classification, </w:t>
      </w:r>
      <w:r w:rsidRPr="00CB1763">
        <w:rPr>
          <w:rFonts w:eastAsia="Times New Roman"/>
          <w:lang w:val="fr-CA"/>
        </w:rPr>
        <w:t>Section 2)</w:t>
      </w:r>
      <w:bookmarkEnd w:id="37"/>
    </w:p>
    <w:p w:rsidR="004715E9" w:rsidRPr="00CB1763" w:rsidRDefault="00394406" w:rsidP="001777DE">
      <w:pPr>
        <w:pStyle w:val="ListParagraph"/>
        <w:numPr>
          <w:ilvl w:val="0"/>
          <w:numId w:val="8"/>
        </w:numPr>
        <w:spacing w:before="240" w:after="240"/>
        <w:ind w:left="360"/>
        <w:rPr>
          <w:rFonts w:cs="Arial"/>
          <w:sz w:val="24"/>
          <w:szCs w:val="24"/>
          <w:lang w:val="fr-CA"/>
        </w:rPr>
      </w:pPr>
      <w:r w:rsidRPr="00CB1763">
        <w:rPr>
          <w:rFonts w:cs="Arial"/>
          <w:sz w:val="24"/>
          <w:szCs w:val="24"/>
          <w:lang w:val="fr-CA"/>
        </w:rPr>
        <w:t>L’ACSA</w:t>
      </w:r>
      <w:r w:rsidR="004715E9" w:rsidRPr="00CB1763">
        <w:rPr>
          <w:rFonts w:cs="Arial"/>
          <w:sz w:val="24"/>
          <w:szCs w:val="24"/>
          <w:lang w:val="fr-CA"/>
        </w:rPr>
        <w:t xml:space="preserve"> </w:t>
      </w:r>
      <w:r w:rsidR="001605FE" w:rsidRPr="00CB1763">
        <w:rPr>
          <w:rFonts w:cs="Arial"/>
          <w:sz w:val="24"/>
          <w:szCs w:val="24"/>
          <w:lang w:val="fr-CA"/>
        </w:rPr>
        <w:t>aimerait qu’une autre catégorie soit ajoutée, l’article</w:t>
      </w:r>
      <w:r w:rsidR="004715E9" w:rsidRPr="00CB1763">
        <w:rPr>
          <w:rFonts w:cs="Arial"/>
          <w:sz w:val="24"/>
          <w:szCs w:val="24"/>
          <w:lang w:val="fr-CA"/>
        </w:rPr>
        <w:t xml:space="preserve"> 2.4.4</w:t>
      </w:r>
      <w:r w:rsidR="001605FE" w:rsidRPr="00CB1763">
        <w:rPr>
          <w:rFonts w:cs="Arial"/>
          <w:sz w:val="24"/>
          <w:szCs w:val="24"/>
          <w:lang w:val="fr-CA"/>
        </w:rPr>
        <w:t>, un spécialiste de la classification ou un responsable de la classification – niveau 3.</w:t>
      </w:r>
      <w:r w:rsidR="004715E9" w:rsidRPr="00CB1763">
        <w:rPr>
          <w:rFonts w:cs="Arial"/>
          <w:sz w:val="24"/>
          <w:szCs w:val="24"/>
          <w:lang w:val="fr-CA"/>
        </w:rPr>
        <w:t xml:space="preserve"> </w:t>
      </w:r>
      <w:r w:rsidR="00AA1A84" w:rsidRPr="00CB1763">
        <w:rPr>
          <w:rFonts w:cs="Arial"/>
          <w:sz w:val="24"/>
          <w:szCs w:val="24"/>
          <w:lang w:val="fr-CA"/>
        </w:rPr>
        <w:t>Cette personne devrait avoir beaucoup d’expérience en tant que chef de la classification.</w:t>
      </w:r>
      <w:r w:rsidR="004715E9" w:rsidRPr="00CB1763">
        <w:rPr>
          <w:rFonts w:cs="Arial"/>
          <w:sz w:val="24"/>
          <w:szCs w:val="24"/>
          <w:lang w:val="fr-CA"/>
        </w:rPr>
        <w:t xml:space="preserve"> </w:t>
      </w:r>
      <w:r w:rsidR="00483E21" w:rsidRPr="00CB1763">
        <w:rPr>
          <w:rFonts w:cs="Arial"/>
          <w:sz w:val="24"/>
          <w:szCs w:val="24"/>
          <w:lang w:val="fr-CA"/>
        </w:rPr>
        <w:t xml:space="preserve">Elle aurait la responsabilité d’assurer la formation et la certification du personnel de classification au sein des FI. </w:t>
      </w:r>
      <w:r w:rsidR="00BB15B8" w:rsidRPr="00CB1763">
        <w:rPr>
          <w:rFonts w:cs="Arial"/>
          <w:sz w:val="24"/>
          <w:szCs w:val="24"/>
          <w:lang w:val="fr-CA"/>
        </w:rPr>
        <w:t>Cette personne pourrait aussi</w:t>
      </w:r>
      <w:r w:rsidR="004715E9" w:rsidRPr="00CB1763">
        <w:rPr>
          <w:rFonts w:cs="Arial"/>
          <w:sz w:val="24"/>
          <w:szCs w:val="24"/>
          <w:lang w:val="fr-CA"/>
        </w:rPr>
        <w:t xml:space="preserve"> </w:t>
      </w:r>
      <w:r w:rsidR="00BB15B8" w:rsidRPr="00CB1763">
        <w:rPr>
          <w:rFonts w:cs="Arial"/>
          <w:sz w:val="24"/>
          <w:szCs w:val="24"/>
          <w:lang w:val="fr-CA"/>
        </w:rPr>
        <w:t>venir en aide aux organisations nationales, dans le même contexte, ce qui permettrait de mettre en valeur le potentiel dans tout le milieu du sport.</w:t>
      </w:r>
    </w:p>
    <w:p w:rsidR="004715E9" w:rsidRPr="00CB1763" w:rsidRDefault="001777DE" w:rsidP="001777DE">
      <w:pPr>
        <w:pStyle w:val="Heading2"/>
        <w:numPr>
          <w:ilvl w:val="0"/>
          <w:numId w:val="11"/>
        </w:numPr>
        <w:ind w:left="450" w:hanging="450"/>
        <w:rPr>
          <w:rFonts w:eastAsia="Times New Roman"/>
          <w:lang w:val="fr-CA"/>
        </w:rPr>
      </w:pPr>
      <w:r w:rsidRPr="00CB1763">
        <w:rPr>
          <w:rFonts w:eastAsia="Times New Roman"/>
          <w:lang w:val="fr-CA"/>
        </w:rPr>
        <w:t xml:space="preserve"> </w:t>
      </w:r>
      <w:bookmarkStart w:id="38" w:name="_Toc368318370"/>
      <w:r w:rsidR="00483E21" w:rsidRPr="00CB1763">
        <w:rPr>
          <w:rFonts w:eastAsia="Times New Roman"/>
          <w:lang w:val="fr-CA"/>
        </w:rPr>
        <w:t>Évaluation des compétences</w:t>
      </w:r>
      <w:r w:rsidR="004715E9" w:rsidRPr="00CB1763">
        <w:rPr>
          <w:rFonts w:eastAsia="Times New Roman"/>
          <w:lang w:val="fr-CA"/>
        </w:rPr>
        <w:t xml:space="preserve"> (</w:t>
      </w:r>
      <w:r w:rsidR="00706031" w:rsidRPr="00CB1763">
        <w:rPr>
          <w:rFonts w:eastAsia="Times New Roman"/>
          <w:lang w:val="fr-CA"/>
        </w:rPr>
        <w:t>Norme internationale : Certification et formation du personnel de classification, S</w:t>
      </w:r>
      <w:r w:rsidR="004715E9" w:rsidRPr="00CB1763">
        <w:rPr>
          <w:rFonts w:eastAsia="Times New Roman"/>
          <w:lang w:val="fr-CA"/>
        </w:rPr>
        <w:t>ection 3)</w:t>
      </w:r>
      <w:bookmarkEnd w:id="38"/>
    </w:p>
    <w:p w:rsidR="004715E9" w:rsidRPr="00CB1763" w:rsidRDefault="00483E21" w:rsidP="001777DE">
      <w:pPr>
        <w:pStyle w:val="ListParagraph"/>
        <w:numPr>
          <w:ilvl w:val="0"/>
          <w:numId w:val="8"/>
        </w:numPr>
        <w:spacing w:before="240" w:after="240"/>
        <w:ind w:left="360"/>
        <w:rPr>
          <w:rFonts w:cs="Arial"/>
          <w:sz w:val="24"/>
          <w:szCs w:val="24"/>
          <w:lang w:val="fr-CA"/>
        </w:rPr>
      </w:pPr>
      <w:r w:rsidRPr="00CB1763">
        <w:rPr>
          <w:rFonts w:cs="Arial"/>
          <w:sz w:val="24"/>
          <w:szCs w:val="24"/>
          <w:lang w:val="fr-CA"/>
        </w:rPr>
        <w:t>L’ACSA</w:t>
      </w:r>
      <w:r w:rsidR="004715E9" w:rsidRPr="00CB1763">
        <w:rPr>
          <w:rFonts w:cs="Arial"/>
          <w:sz w:val="24"/>
          <w:szCs w:val="24"/>
          <w:lang w:val="fr-CA"/>
        </w:rPr>
        <w:t xml:space="preserve"> </w:t>
      </w:r>
      <w:r w:rsidR="00B21905" w:rsidRPr="00CB1763">
        <w:rPr>
          <w:rFonts w:cs="Arial"/>
          <w:sz w:val="24"/>
          <w:szCs w:val="24"/>
          <w:lang w:val="fr-CA"/>
        </w:rPr>
        <w:t>s’interroge à propos d’un certain nombre de points à la S</w:t>
      </w:r>
      <w:r w:rsidR="004715E9" w:rsidRPr="00CB1763">
        <w:rPr>
          <w:rFonts w:cs="Arial"/>
          <w:sz w:val="24"/>
          <w:szCs w:val="24"/>
          <w:lang w:val="fr-CA"/>
        </w:rPr>
        <w:t xml:space="preserve">ection 3.5 </w:t>
      </w:r>
      <w:r w:rsidR="00B21905" w:rsidRPr="00CB1763">
        <w:rPr>
          <w:rFonts w:cs="Arial"/>
          <w:sz w:val="24"/>
          <w:szCs w:val="24"/>
          <w:lang w:val="fr-CA"/>
        </w:rPr>
        <w:t>de la norme.</w:t>
      </w:r>
      <w:r w:rsidR="004715E9" w:rsidRPr="00CB1763">
        <w:rPr>
          <w:rFonts w:cs="Arial"/>
          <w:sz w:val="24"/>
          <w:szCs w:val="24"/>
          <w:lang w:val="fr-CA"/>
        </w:rPr>
        <w:t xml:space="preserve"> </w:t>
      </w:r>
      <w:r w:rsidR="00B21905" w:rsidRPr="00CB1763">
        <w:rPr>
          <w:rFonts w:cs="Arial"/>
          <w:sz w:val="24"/>
          <w:szCs w:val="24"/>
          <w:lang w:val="fr-CA"/>
        </w:rPr>
        <w:t>Plus précisément,</w:t>
      </w:r>
      <w:r w:rsidR="004715E9" w:rsidRPr="00CB1763">
        <w:rPr>
          <w:rFonts w:cs="Arial"/>
          <w:sz w:val="24"/>
          <w:szCs w:val="24"/>
          <w:lang w:val="fr-CA"/>
        </w:rPr>
        <w:t xml:space="preserve"> </w:t>
      </w:r>
      <w:r w:rsidR="00B21905" w:rsidRPr="00CB1763">
        <w:rPr>
          <w:rFonts w:cs="Arial"/>
          <w:sz w:val="24"/>
          <w:szCs w:val="24"/>
          <w:lang w:val="fr-CA"/>
        </w:rPr>
        <w:t>l’ACSA</w:t>
      </w:r>
      <w:r w:rsidR="004715E9" w:rsidRPr="00CB1763">
        <w:rPr>
          <w:rFonts w:cs="Arial"/>
          <w:sz w:val="24"/>
          <w:szCs w:val="24"/>
          <w:lang w:val="fr-CA"/>
        </w:rPr>
        <w:t xml:space="preserve"> </w:t>
      </w:r>
      <w:r w:rsidR="00993B71" w:rsidRPr="00CB1763">
        <w:rPr>
          <w:rFonts w:cs="Arial"/>
          <w:sz w:val="24"/>
          <w:szCs w:val="24"/>
          <w:lang w:val="fr-CA"/>
        </w:rPr>
        <w:t>est préoccupée par le fait qu’un responsable de la classification</w:t>
      </w:r>
      <w:r w:rsidR="004715E9" w:rsidRPr="00CB1763">
        <w:rPr>
          <w:rFonts w:cs="Arial"/>
          <w:sz w:val="24"/>
          <w:szCs w:val="24"/>
          <w:lang w:val="fr-CA"/>
        </w:rPr>
        <w:t xml:space="preserve"> </w:t>
      </w:r>
      <w:r w:rsidR="00993B71" w:rsidRPr="00CB1763">
        <w:rPr>
          <w:rFonts w:cs="Arial"/>
          <w:sz w:val="24"/>
          <w:szCs w:val="24"/>
          <w:lang w:val="fr-CA"/>
        </w:rPr>
        <w:t>puisse être nommé au comité des protêts uniquement pour</w:t>
      </w:r>
      <w:r w:rsidR="004715E9" w:rsidRPr="00CB1763">
        <w:rPr>
          <w:rFonts w:cs="Arial"/>
          <w:sz w:val="24"/>
          <w:szCs w:val="24"/>
          <w:lang w:val="fr-CA"/>
        </w:rPr>
        <w:t xml:space="preserve"> </w:t>
      </w:r>
      <w:r w:rsidR="00993B71" w:rsidRPr="00CB1763">
        <w:rPr>
          <w:rFonts w:cs="Arial"/>
          <w:sz w:val="24"/>
          <w:szCs w:val="24"/>
          <w:lang w:val="fr-CA"/>
        </w:rPr>
        <w:t>conserver sa</w:t>
      </w:r>
      <w:r w:rsidR="004715E9" w:rsidRPr="00CB1763">
        <w:rPr>
          <w:rFonts w:cs="Arial"/>
          <w:sz w:val="24"/>
          <w:szCs w:val="24"/>
          <w:lang w:val="fr-CA"/>
        </w:rPr>
        <w:t xml:space="preserve"> certification </w:t>
      </w:r>
      <w:r w:rsidR="00993B71" w:rsidRPr="00CB1763">
        <w:rPr>
          <w:rFonts w:cs="Arial"/>
          <w:sz w:val="24"/>
          <w:szCs w:val="24"/>
          <w:lang w:val="fr-CA"/>
        </w:rPr>
        <w:t>plutôt que d’être la personne la plus qualifiée dans un cas donné</w:t>
      </w:r>
      <w:r w:rsidR="004715E9" w:rsidRPr="00CB1763">
        <w:rPr>
          <w:rFonts w:cs="Arial"/>
          <w:sz w:val="24"/>
          <w:szCs w:val="24"/>
          <w:lang w:val="fr-CA"/>
        </w:rPr>
        <w:t xml:space="preserve">. </w:t>
      </w:r>
      <w:r w:rsidR="00993B71" w:rsidRPr="00CB1763">
        <w:rPr>
          <w:rFonts w:cs="Arial"/>
          <w:sz w:val="24"/>
          <w:szCs w:val="24"/>
          <w:lang w:val="fr-CA"/>
        </w:rPr>
        <w:t>Le mérite doit toujours prévaloir au moment de sélectionner un responsable de la classification pour faire partie du comité des protêts.</w:t>
      </w:r>
    </w:p>
    <w:p w:rsidR="001777DE" w:rsidRPr="00CB1763" w:rsidRDefault="001777DE" w:rsidP="001777DE">
      <w:pPr>
        <w:pStyle w:val="ListParagraph"/>
        <w:spacing w:before="240" w:after="240"/>
        <w:ind w:left="360"/>
        <w:rPr>
          <w:rFonts w:cs="Arial"/>
          <w:sz w:val="24"/>
          <w:szCs w:val="24"/>
          <w:lang w:val="fr-CA"/>
        </w:rPr>
      </w:pPr>
    </w:p>
    <w:p w:rsidR="004715E9" w:rsidRPr="00CB1763" w:rsidRDefault="0077743C" w:rsidP="001777DE">
      <w:pPr>
        <w:pStyle w:val="ListParagraph"/>
        <w:numPr>
          <w:ilvl w:val="0"/>
          <w:numId w:val="8"/>
        </w:numPr>
        <w:spacing w:before="240" w:after="240"/>
        <w:ind w:left="360"/>
        <w:rPr>
          <w:rFonts w:cs="Arial"/>
          <w:sz w:val="24"/>
          <w:szCs w:val="24"/>
          <w:lang w:val="fr-CA"/>
        </w:rPr>
      </w:pPr>
      <w:r w:rsidRPr="00CB1763">
        <w:rPr>
          <w:rFonts w:cs="Arial"/>
          <w:sz w:val="24"/>
          <w:szCs w:val="24"/>
          <w:lang w:val="fr-CA"/>
        </w:rPr>
        <w:lastRenderedPageBreak/>
        <w:t xml:space="preserve">Puis, y a-t-il des mécanismes appropriés en place pour faire le suivi </w:t>
      </w:r>
      <w:r w:rsidR="004715E9" w:rsidRPr="00CB1763">
        <w:rPr>
          <w:rFonts w:cs="Arial"/>
          <w:sz w:val="24"/>
          <w:szCs w:val="24"/>
          <w:lang w:val="fr-CA"/>
        </w:rPr>
        <w:t>:</w:t>
      </w:r>
      <w:r w:rsidRPr="00CB1763">
        <w:rPr>
          <w:rFonts w:cs="Arial"/>
          <w:sz w:val="24"/>
          <w:szCs w:val="24"/>
          <w:lang w:val="fr-CA"/>
        </w:rPr>
        <w:t> </w:t>
      </w:r>
    </w:p>
    <w:p w:rsidR="004715E9" w:rsidRPr="00CB1763" w:rsidRDefault="0077743C" w:rsidP="0077743C">
      <w:pPr>
        <w:numPr>
          <w:ilvl w:val="0"/>
          <w:numId w:val="14"/>
        </w:numPr>
        <w:spacing w:after="0" w:line="240" w:lineRule="auto"/>
        <w:ind w:firstLine="360"/>
        <w:rPr>
          <w:rFonts w:ascii="Arial" w:eastAsia="Times New Roman" w:hAnsi="Arial" w:cs="Arial"/>
          <w:sz w:val="24"/>
          <w:szCs w:val="24"/>
          <w:lang w:val="fr-CA"/>
        </w:rPr>
      </w:pPr>
      <w:r w:rsidRPr="00CB1763">
        <w:rPr>
          <w:rFonts w:ascii="Arial" w:eastAsia="Times New Roman" w:hAnsi="Arial" w:cs="Arial"/>
          <w:sz w:val="24"/>
          <w:szCs w:val="24"/>
          <w:lang w:val="fr-CA"/>
        </w:rPr>
        <w:t>du nombre d’heures qu’un responsable de la classification certifié consacre</w:t>
      </w:r>
      <w:r w:rsidR="004715E9" w:rsidRPr="00CB1763">
        <w:rPr>
          <w:rFonts w:ascii="Arial" w:eastAsia="Times New Roman" w:hAnsi="Arial" w:cs="Arial"/>
          <w:sz w:val="24"/>
          <w:szCs w:val="24"/>
          <w:lang w:val="fr-CA"/>
        </w:rPr>
        <w:t xml:space="preserve"> </w:t>
      </w:r>
      <w:r w:rsidRPr="00CB1763">
        <w:rPr>
          <w:rFonts w:ascii="Arial" w:eastAsia="Times New Roman" w:hAnsi="Arial" w:cs="Arial"/>
          <w:sz w:val="24"/>
          <w:szCs w:val="24"/>
          <w:lang w:val="fr-CA"/>
        </w:rPr>
        <w:t>à des activités en lien avec la classification;</w:t>
      </w:r>
    </w:p>
    <w:p w:rsidR="004715E9" w:rsidRPr="00CB1763" w:rsidRDefault="0077743C" w:rsidP="0077743C">
      <w:pPr>
        <w:numPr>
          <w:ilvl w:val="0"/>
          <w:numId w:val="14"/>
        </w:numPr>
        <w:spacing w:after="0" w:line="240" w:lineRule="auto"/>
        <w:ind w:firstLine="360"/>
        <w:rPr>
          <w:rFonts w:ascii="Arial" w:eastAsia="Times New Roman" w:hAnsi="Arial" w:cs="Arial"/>
          <w:sz w:val="24"/>
          <w:szCs w:val="24"/>
          <w:lang w:val="fr-CA"/>
        </w:rPr>
      </w:pPr>
      <w:r w:rsidRPr="00CB1763">
        <w:rPr>
          <w:rFonts w:ascii="Arial" w:eastAsia="Times New Roman" w:hAnsi="Arial" w:cs="Arial"/>
          <w:sz w:val="24"/>
          <w:szCs w:val="24"/>
          <w:lang w:val="fr-CA"/>
        </w:rPr>
        <w:t>du nombre d’athlè</w:t>
      </w:r>
      <w:r w:rsidR="004715E9" w:rsidRPr="00CB1763">
        <w:rPr>
          <w:rFonts w:ascii="Arial" w:eastAsia="Times New Roman" w:hAnsi="Arial" w:cs="Arial"/>
          <w:sz w:val="24"/>
          <w:szCs w:val="24"/>
          <w:lang w:val="fr-CA"/>
        </w:rPr>
        <w:t xml:space="preserve">tes </w:t>
      </w:r>
      <w:r w:rsidRPr="00CB1763">
        <w:rPr>
          <w:rFonts w:ascii="Arial" w:eastAsia="Times New Roman" w:hAnsi="Arial" w:cs="Arial"/>
          <w:sz w:val="24"/>
          <w:szCs w:val="24"/>
          <w:lang w:val="fr-CA"/>
        </w:rPr>
        <w:t>qu’un responsable de la classification a classé pendant la période de certification</w:t>
      </w:r>
      <w:r w:rsidR="004715E9" w:rsidRPr="00CB1763">
        <w:rPr>
          <w:rFonts w:ascii="Arial" w:eastAsia="Times New Roman" w:hAnsi="Arial" w:cs="Arial"/>
          <w:sz w:val="24"/>
          <w:szCs w:val="24"/>
          <w:lang w:val="fr-CA"/>
        </w:rPr>
        <w:t>;</w:t>
      </w:r>
    </w:p>
    <w:p w:rsidR="004715E9" w:rsidRPr="00CB1763" w:rsidRDefault="0077743C" w:rsidP="0077743C">
      <w:pPr>
        <w:numPr>
          <w:ilvl w:val="0"/>
          <w:numId w:val="14"/>
        </w:numPr>
        <w:spacing w:after="0" w:line="240" w:lineRule="auto"/>
        <w:ind w:firstLine="360"/>
        <w:rPr>
          <w:rFonts w:ascii="Arial" w:eastAsia="Times New Roman" w:hAnsi="Arial" w:cs="Arial"/>
          <w:sz w:val="24"/>
          <w:szCs w:val="24"/>
          <w:lang w:val="fr-CA"/>
        </w:rPr>
      </w:pPr>
      <w:r w:rsidRPr="00CB1763">
        <w:rPr>
          <w:rFonts w:ascii="Arial" w:eastAsia="Times New Roman" w:hAnsi="Arial" w:cs="Arial"/>
          <w:sz w:val="24"/>
          <w:szCs w:val="24"/>
          <w:lang w:val="fr-CA"/>
        </w:rPr>
        <w:t>du nombre d’athlètes</w:t>
      </w:r>
      <w:r w:rsidR="004715E9" w:rsidRPr="00CB1763">
        <w:rPr>
          <w:rFonts w:ascii="Arial" w:eastAsia="Times New Roman" w:hAnsi="Arial" w:cs="Arial"/>
          <w:sz w:val="24"/>
          <w:szCs w:val="24"/>
          <w:lang w:val="fr-CA"/>
        </w:rPr>
        <w:t xml:space="preserve"> </w:t>
      </w:r>
      <w:r w:rsidRPr="00CB1763">
        <w:rPr>
          <w:rFonts w:ascii="Arial" w:eastAsia="Times New Roman" w:hAnsi="Arial" w:cs="Arial"/>
          <w:sz w:val="24"/>
          <w:szCs w:val="24"/>
          <w:lang w:val="fr-CA"/>
        </w:rPr>
        <w:t>classé par un responsable de la classification ayant fait l’objet d’un protêt ou d’un appel</w:t>
      </w:r>
      <w:r w:rsidR="004715E9" w:rsidRPr="00CB1763">
        <w:rPr>
          <w:rFonts w:ascii="Arial" w:eastAsia="Times New Roman" w:hAnsi="Arial" w:cs="Arial"/>
          <w:sz w:val="24"/>
          <w:szCs w:val="24"/>
          <w:lang w:val="fr-CA"/>
        </w:rPr>
        <w:t xml:space="preserve"> (</w:t>
      </w:r>
      <w:r w:rsidR="00DF53E4" w:rsidRPr="00CB1763">
        <w:rPr>
          <w:rFonts w:ascii="Arial" w:eastAsia="Times New Roman" w:hAnsi="Arial" w:cs="Arial"/>
          <w:sz w:val="24"/>
          <w:szCs w:val="24"/>
          <w:lang w:val="fr-CA"/>
        </w:rPr>
        <w:t>et si ces protêts ou appels ont été retenus, des informations qu’on ne trouve nulle part, et qui sont pourtant essentielles);</w:t>
      </w:r>
    </w:p>
    <w:p w:rsidR="004715E9" w:rsidRPr="00CB1763" w:rsidRDefault="00DF53E4" w:rsidP="008F26DE">
      <w:pPr>
        <w:numPr>
          <w:ilvl w:val="0"/>
          <w:numId w:val="14"/>
        </w:numPr>
        <w:spacing w:line="240" w:lineRule="auto"/>
        <w:ind w:firstLine="360"/>
        <w:rPr>
          <w:rFonts w:ascii="Arial" w:eastAsia="Times New Roman" w:hAnsi="Arial" w:cs="Arial"/>
          <w:sz w:val="24"/>
          <w:szCs w:val="24"/>
          <w:lang w:val="fr-CA"/>
        </w:rPr>
      </w:pPr>
      <w:r w:rsidRPr="00CB1763">
        <w:rPr>
          <w:rFonts w:ascii="Arial" w:eastAsia="Times New Roman" w:hAnsi="Arial" w:cs="Arial"/>
          <w:sz w:val="24"/>
          <w:szCs w:val="24"/>
          <w:lang w:val="fr-CA"/>
        </w:rPr>
        <w:t>du nombre d’athlètes jugés non admissibles à la compétition</w:t>
      </w:r>
      <w:r w:rsidR="004715E9" w:rsidRPr="00CB1763">
        <w:rPr>
          <w:rFonts w:ascii="Arial" w:eastAsia="Times New Roman" w:hAnsi="Arial" w:cs="Arial"/>
          <w:sz w:val="24"/>
          <w:szCs w:val="24"/>
          <w:lang w:val="fr-CA"/>
        </w:rPr>
        <w:t>.</w:t>
      </w:r>
    </w:p>
    <w:p w:rsidR="004715E9" w:rsidRPr="00CB1763" w:rsidRDefault="00C1673C" w:rsidP="008F26DE">
      <w:pPr>
        <w:pStyle w:val="ListParagraph"/>
        <w:numPr>
          <w:ilvl w:val="0"/>
          <w:numId w:val="8"/>
        </w:numPr>
        <w:ind w:left="360"/>
        <w:rPr>
          <w:rFonts w:cs="Arial"/>
          <w:sz w:val="24"/>
          <w:szCs w:val="24"/>
          <w:lang w:val="fr-CA"/>
        </w:rPr>
      </w:pPr>
      <w:r w:rsidRPr="00CB1763">
        <w:rPr>
          <w:rFonts w:cs="Arial"/>
          <w:sz w:val="24"/>
          <w:szCs w:val="24"/>
          <w:lang w:val="fr-CA"/>
        </w:rPr>
        <w:t>Le CIP</w:t>
      </w:r>
      <w:r w:rsidR="004715E9" w:rsidRPr="00CB1763">
        <w:rPr>
          <w:rFonts w:cs="Arial"/>
          <w:sz w:val="24"/>
          <w:szCs w:val="24"/>
          <w:lang w:val="fr-CA"/>
        </w:rPr>
        <w:t xml:space="preserve"> </w:t>
      </w:r>
      <w:r w:rsidRPr="00CB1763">
        <w:rPr>
          <w:rFonts w:cs="Arial"/>
          <w:sz w:val="24"/>
          <w:szCs w:val="24"/>
          <w:lang w:val="fr-CA"/>
        </w:rPr>
        <w:t>devrait intégrer des critères spécifiques de suivi dans cette norme</w:t>
      </w:r>
      <w:r w:rsidR="004715E9" w:rsidRPr="00CB1763">
        <w:rPr>
          <w:rFonts w:cs="Arial"/>
          <w:sz w:val="24"/>
          <w:szCs w:val="24"/>
          <w:lang w:val="fr-CA"/>
        </w:rPr>
        <w:t xml:space="preserve"> </w:t>
      </w:r>
      <w:r w:rsidR="00F5772F" w:rsidRPr="00CB1763">
        <w:rPr>
          <w:rFonts w:cs="Arial"/>
          <w:sz w:val="24"/>
          <w:szCs w:val="24"/>
          <w:lang w:val="fr-CA"/>
        </w:rPr>
        <w:t>pour s’assurer que tous les responsables de la classification atteignent ces objectifs, à la fois nobles et importants</w:t>
      </w:r>
      <w:r w:rsidR="004715E9" w:rsidRPr="00CB1763">
        <w:rPr>
          <w:rFonts w:cs="Arial"/>
          <w:sz w:val="24"/>
          <w:szCs w:val="24"/>
          <w:lang w:val="fr-CA"/>
        </w:rPr>
        <w:t xml:space="preserve">. </w:t>
      </w:r>
      <w:r w:rsidR="00B60618" w:rsidRPr="00CB1763">
        <w:rPr>
          <w:rFonts w:cs="Arial"/>
          <w:sz w:val="24"/>
          <w:szCs w:val="24"/>
          <w:lang w:val="fr-CA"/>
        </w:rPr>
        <w:t>Des méc</w:t>
      </w:r>
      <w:r w:rsidR="004715E9" w:rsidRPr="00CB1763">
        <w:rPr>
          <w:rFonts w:cs="Arial"/>
          <w:sz w:val="24"/>
          <w:szCs w:val="24"/>
          <w:lang w:val="fr-CA"/>
        </w:rPr>
        <w:t>anism</w:t>
      </w:r>
      <w:r w:rsidR="00B60618" w:rsidRPr="00CB1763">
        <w:rPr>
          <w:rFonts w:cs="Arial"/>
          <w:sz w:val="24"/>
          <w:szCs w:val="24"/>
          <w:lang w:val="fr-CA"/>
        </w:rPr>
        <w:t>e</w:t>
      </w:r>
      <w:r w:rsidR="004715E9" w:rsidRPr="00CB1763">
        <w:rPr>
          <w:rFonts w:cs="Arial"/>
          <w:sz w:val="24"/>
          <w:szCs w:val="24"/>
          <w:lang w:val="fr-CA"/>
        </w:rPr>
        <w:t xml:space="preserve">s </w:t>
      </w:r>
      <w:r w:rsidR="00B97AE6" w:rsidRPr="00CB1763">
        <w:rPr>
          <w:rFonts w:cs="Arial"/>
          <w:sz w:val="24"/>
          <w:szCs w:val="24"/>
          <w:lang w:val="fr-CA"/>
        </w:rPr>
        <w:t>doivent aussi être mis en place pour s’assurer</w:t>
      </w:r>
      <w:r w:rsidR="004715E9" w:rsidRPr="00CB1763">
        <w:rPr>
          <w:rFonts w:cs="Arial"/>
          <w:sz w:val="24"/>
          <w:szCs w:val="24"/>
          <w:lang w:val="fr-CA"/>
        </w:rPr>
        <w:t xml:space="preserve"> </w:t>
      </w:r>
      <w:r w:rsidR="00B97AE6" w:rsidRPr="00CB1763">
        <w:rPr>
          <w:rFonts w:cs="Arial"/>
          <w:sz w:val="24"/>
          <w:szCs w:val="24"/>
          <w:lang w:val="fr-CA"/>
        </w:rPr>
        <w:t>que les responsables de la classification</w:t>
      </w:r>
      <w:r w:rsidR="004715E9" w:rsidRPr="00CB1763">
        <w:rPr>
          <w:rFonts w:cs="Arial"/>
          <w:sz w:val="24"/>
          <w:szCs w:val="24"/>
          <w:lang w:val="fr-CA"/>
        </w:rPr>
        <w:t xml:space="preserve"> </w:t>
      </w:r>
      <w:r w:rsidR="00B97AE6" w:rsidRPr="00CB1763">
        <w:rPr>
          <w:rFonts w:cs="Arial"/>
          <w:sz w:val="24"/>
          <w:szCs w:val="24"/>
          <w:lang w:val="fr-CA"/>
        </w:rPr>
        <w:t>ont suffisamment d’expé</w:t>
      </w:r>
      <w:r w:rsidR="004715E9" w:rsidRPr="00CB1763">
        <w:rPr>
          <w:rFonts w:cs="Arial"/>
          <w:sz w:val="24"/>
          <w:szCs w:val="24"/>
          <w:lang w:val="fr-CA"/>
        </w:rPr>
        <w:t>rience</w:t>
      </w:r>
      <w:r w:rsidR="00B97AE6" w:rsidRPr="00CB1763">
        <w:rPr>
          <w:rFonts w:cs="Arial"/>
          <w:sz w:val="24"/>
          <w:szCs w:val="24"/>
          <w:lang w:val="fr-CA"/>
        </w:rPr>
        <w:t xml:space="preserve"> pour classer des athlètes qui en dernier ressort ne seront pas admissibles ou</w:t>
      </w:r>
      <w:r w:rsidR="004715E9" w:rsidRPr="00CB1763">
        <w:rPr>
          <w:rFonts w:cs="Arial"/>
          <w:sz w:val="24"/>
          <w:szCs w:val="24"/>
          <w:lang w:val="fr-CA"/>
        </w:rPr>
        <w:t xml:space="preserve"> </w:t>
      </w:r>
      <w:r w:rsidR="00B97AE6" w:rsidRPr="00CB1763">
        <w:rPr>
          <w:rFonts w:cs="Arial"/>
          <w:sz w:val="24"/>
          <w:szCs w:val="24"/>
          <w:lang w:val="fr-CA"/>
        </w:rPr>
        <w:t>des athlè</w:t>
      </w:r>
      <w:r w:rsidR="004715E9" w:rsidRPr="00CB1763">
        <w:rPr>
          <w:rFonts w:cs="Arial"/>
          <w:sz w:val="24"/>
          <w:szCs w:val="24"/>
          <w:lang w:val="fr-CA"/>
        </w:rPr>
        <w:t xml:space="preserve">tes </w:t>
      </w:r>
      <w:r w:rsidR="00B97AE6" w:rsidRPr="00CB1763">
        <w:rPr>
          <w:rFonts w:cs="Arial"/>
          <w:sz w:val="24"/>
          <w:szCs w:val="24"/>
          <w:lang w:val="fr-CA"/>
        </w:rPr>
        <w:t>qui déposeront ensuite un protêt à l’égard de la catégorie attribuée.</w:t>
      </w:r>
    </w:p>
    <w:p w:rsidR="004715E9" w:rsidRPr="00CB1763" w:rsidRDefault="001777DE" w:rsidP="008F26DE">
      <w:pPr>
        <w:pStyle w:val="Heading2"/>
        <w:numPr>
          <w:ilvl w:val="0"/>
          <w:numId w:val="17"/>
        </w:numPr>
        <w:spacing w:before="240" w:after="240" w:line="240" w:lineRule="auto"/>
        <w:ind w:left="360"/>
        <w:rPr>
          <w:rFonts w:eastAsia="Times New Roman"/>
          <w:lang w:val="fr-CA"/>
        </w:rPr>
      </w:pPr>
      <w:r w:rsidRPr="00CB1763">
        <w:rPr>
          <w:rFonts w:eastAsia="Times New Roman"/>
          <w:lang w:val="fr-CA"/>
        </w:rPr>
        <w:t xml:space="preserve"> </w:t>
      </w:r>
      <w:bookmarkStart w:id="39" w:name="_Toc368318371"/>
      <w:r w:rsidR="002C2FEE" w:rsidRPr="00CB1763">
        <w:rPr>
          <w:rFonts w:eastAsia="Times New Roman"/>
          <w:lang w:val="fr-CA"/>
        </w:rPr>
        <w:t>Responsabilités et</w:t>
      </w:r>
      <w:r w:rsidR="004715E9" w:rsidRPr="00CB1763">
        <w:rPr>
          <w:rFonts w:eastAsia="Times New Roman"/>
          <w:lang w:val="fr-CA"/>
        </w:rPr>
        <w:t xml:space="preserve"> </w:t>
      </w:r>
      <w:r w:rsidR="002C2FEE" w:rsidRPr="00CB1763">
        <w:rPr>
          <w:rFonts w:eastAsia="Times New Roman"/>
          <w:lang w:val="fr-CA"/>
        </w:rPr>
        <w:t>fonctions du personnel de classification</w:t>
      </w:r>
      <w:r w:rsidR="004715E9" w:rsidRPr="00CB1763">
        <w:rPr>
          <w:rFonts w:eastAsia="Times New Roman"/>
          <w:lang w:val="fr-CA"/>
        </w:rPr>
        <w:t xml:space="preserve"> (</w:t>
      </w:r>
      <w:r w:rsidR="002C2FEE" w:rsidRPr="00CB1763">
        <w:rPr>
          <w:rFonts w:eastAsia="Times New Roman"/>
          <w:lang w:val="fr-CA"/>
        </w:rPr>
        <w:t>Norme i</w:t>
      </w:r>
      <w:r w:rsidR="004715E9" w:rsidRPr="00CB1763">
        <w:rPr>
          <w:rFonts w:eastAsia="Times New Roman"/>
          <w:lang w:val="fr-CA"/>
        </w:rPr>
        <w:t>nternational</w:t>
      </w:r>
      <w:r w:rsidR="002C2FEE" w:rsidRPr="00CB1763">
        <w:rPr>
          <w:rFonts w:eastAsia="Times New Roman"/>
          <w:lang w:val="fr-CA"/>
        </w:rPr>
        <w:t xml:space="preserve">e </w:t>
      </w:r>
      <w:r w:rsidR="004715E9" w:rsidRPr="00CB1763">
        <w:rPr>
          <w:rFonts w:eastAsia="Times New Roman"/>
          <w:lang w:val="fr-CA"/>
        </w:rPr>
        <w:t xml:space="preserve">: </w:t>
      </w:r>
      <w:r w:rsidR="00B21905" w:rsidRPr="00CB1763">
        <w:rPr>
          <w:rFonts w:eastAsia="Times New Roman"/>
          <w:lang w:val="fr-CA"/>
        </w:rPr>
        <w:t xml:space="preserve">Certification et formation du personnel de classification, </w:t>
      </w:r>
      <w:r w:rsidR="004715E9" w:rsidRPr="00CB1763">
        <w:rPr>
          <w:rFonts w:eastAsia="Times New Roman"/>
          <w:lang w:val="fr-CA"/>
        </w:rPr>
        <w:t>Section 5)</w:t>
      </w:r>
      <w:bookmarkEnd w:id="39"/>
    </w:p>
    <w:p w:rsidR="004715E9" w:rsidRPr="00CB1763" w:rsidRDefault="00B97AE6" w:rsidP="008F26DE">
      <w:pPr>
        <w:pStyle w:val="ListParagraph"/>
        <w:numPr>
          <w:ilvl w:val="0"/>
          <w:numId w:val="8"/>
        </w:numPr>
        <w:ind w:left="360"/>
        <w:rPr>
          <w:rFonts w:cs="Arial"/>
          <w:sz w:val="24"/>
          <w:szCs w:val="24"/>
          <w:lang w:val="fr-CA"/>
        </w:rPr>
      </w:pPr>
      <w:r w:rsidRPr="00CB1763">
        <w:rPr>
          <w:rFonts w:cs="Arial"/>
          <w:sz w:val="24"/>
          <w:szCs w:val="24"/>
          <w:lang w:val="fr-CA"/>
        </w:rPr>
        <w:t>L’ACSA demande que la</w:t>
      </w:r>
      <w:r w:rsidR="004715E9" w:rsidRPr="00CB1763">
        <w:rPr>
          <w:rFonts w:cs="Arial"/>
          <w:sz w:val="24"/>
          <w:szCs w:val="24"/>
          <w:lang w:val="fr-CA"/>
        </w:rPr>
        <w:t xml:space="preserve"> Section 5 </w:t>
      </w:r>
      <w:r w:rsidRPr="00CB1763">
        <w:rPr>
          <w:rFonts w:cs="Arial"/>
          <w:sz w:val="24"/>
          <w:szCs w:val="24"/>
          <w:lang w:val="fr-CA"/>
        </w:rPr>
        <w:t>de cette norme soit modifiée pour permettre au chef de la classification de déléguer un certain nombre de tâches au personnel administratif sous sa supervision.</w:t>
      </w:r>
      <w:r w:rsidR="004715E9" w:rsidRPr="00CB1763">
        <w:rPr>
          <w:rFonts w:cs="Arial"/>
          <w:sz w:val="24"/>
          <w:szCs w:val="24"/>
          <w:lang w:val="fr-CA"/>
        </w:rPr>
        <w:t xml:space="preserve"> </w:t>
      </w:r>
      <w:r w:rsidR="00D018E9" w:rsidRPr="00CB1763">
        <w:rPr>
          <w:rFonts w:cs="Arial"/>
          <w:sz w:val="24"/>
          <w:szCs w:val="24"/>
          <w:lang w:val="fr-CA"/>
        </w:rPr>
        <w:t>Parmi ces tâches, il y aurait la création et la mise à jour des bases de données</w:t>
      </w:r>
      <w:r w:rsidR="004715E9" w:rsidRPr="00CB1763">
        <w:rPr>
          <w:rFonts w:cs="Arial"/>
          <w:sz w:val="24"/>
          <w:szCs w:val="24"/>
          <w:lang w:val="fr-CA"/>
        </w:rPr>
        <w:t xml:space="preserve"> </w:t>
      </w:r>
      <w:r w:rsidR="00D018E9" w:rsidRPr="00CB1763">
        <w:rPr>
          <w:rFonts w:cs="Arial"/>
          <w:sz w:val="24"/>
          <w:szCs w:val="24"/>
          <w:lang w:val="fr-CA"/>
        </w:rPr>
        <w:t>décrites à la S</w:t>
      </w:r>
      <w:r w:rsidR="004715E9" w:rsidRPr="00CB1763">
        <w:rPr>
          <w:rFonts w:cs="Arial"/>
          <w:sz w:val="24"/>
          <w:szCs w:val="24"/>
          <w:lang w:val="fr-CA"/>
        </w:rPr>
        <w:t xml:space="preserve">ection 5.2, </w:t>
      </w:r>
      <w:r w:rsidR="00D018E9" w:rsidRPr="00CB1763">
        <w:rPr>
          <w:rFonts w:cs="Arial"/>
          <w:sz w:val="24"/>
          <w:szCs w:val="24"/>
          <w:lang w:val="fr-CA"/>
        </w:rPr>
        <w:t>l’organisation des bureaux de</w:t>
      </w:r>
      <w:r w:rsidR="004715E9" w:rsidRPr="00CB1763">
        <w:rPr>
          <w:rFonts w:cs="Arial"/>
          <w:sz w:val="24"/>
          <w:szCs w:val="24"/>
          <w:lang w:val="fr-CA"/>
        </w:rPr>
        <w:t xml:space="preserve"> classification </w:t>
      </w:r>
      <w:r w:rsidR="00D018E9" w:rsidRPr="00CB1763">
        <w:rPr>
          <w:rFonts w:cs="Arial"/>
          <w:sz w:val="24"/>
          <w:szCs w:val="24"/>
          <w:lang w:val="fr-CA"/>
        </w:rPr>
        <w:t xml:space="preserve">sur les lieux des compétitions et autres tâches qui relèvent habituellement du personnel administratif. </w:t>
      </w:r>
      <w:r w:rsidR="00BE7584" w:rsidRPr="00CB1763">
        <w:rPr>
          <w:rFonts w:cs="Arial"/>
          <w:sz w:val="24"/>
          <w:szCs w:val="24"/>
          <w:lang w:val="fr-CA"/>
        </w:rPr>
        <w:t>Aucune tâche exigeant un jugement clinique ou en lien direct avec l’attribution d’une catégorie à un athlète ne doit être confiée au personnel administratif</w:t>
      </w:r>
      <w:r w:rsidR="00B377CA" w:rsidRPr="00CB1763">
        <w:rPr>
          <w:rFonts w:cs="Arial"/>
          <w:sz w:val="24"/>
          <w:szCs w:val="24"/>
          <w:lang w:val="fr-CA"/>
        </w:rPr>
        <w:t>.</w:t>
      </w:r>
      <w:r w:rsidR="004715E9" w:rsidRPr="00CB1763">
        <w:rPr>
          <w:rFonts w:cs="Arial"/>
          <w:sz w:val="24"/>
          <w:szCs w:val="24"/>
          <w:lang w:val="fr-CA"/>
        </w:rPr>
        <w:t xml:space="preserve"> </w:t>
      </w:r>
      <w:r w:rsidR="005B2962" w:rsidRPr="00CB1763">
        <w:rPr>
          <w:rFonts w:cs="Arial"/>
          <w:sz w:val="24"/>
          <w:szCs w:val="24"/>
          <w:lang w:val="fr-CA"/>
        </w:rPr>
        <w:t>Une approche similaire pourrait être mise en place afin d’autoriser les chefs de la classification, en vertu de la S</w:t>
      </w:r>
      <w:r w:rsidR="004715E9" w:rsidRPr="00CB1763">
        <w:rPr>
          <w:rFonts w:cs="Arial"/>
          <w:sz w:val="24"/>
          <w:szCs w:val="24"/>
          <w:lang w:val="fr-CA"/>
        </w:rPr>
        <w:t>ection 5.4</w:t>
      </w:r>
      <w:r w:rsidR="005B2962" w:rsidRPr="00CB1763">
        <w:rPr>
          <w:rFonts w:cs="Arial"/>
          <w:sz w:val="24"/>
          <w:szCs w:val="24"/>
          <w:lang w:val="fr-CA"/>
        </w:rPr>
        <w:t>, à déléguer des fonctions</w:t>
      </w:r>
      <w:r w:rsidR="004715E9" w:rsidRPr="00CB1763">
        <w:rPr>
          <w:rFonts w:cs="Arial"/>
          <w:sz w:val="24"/>
          <w:szCs w:val="24"/>
          <w:lang w:val="fr-CA"/>
        </w:rPr>
        <w:t xml:space="preserve"> administrative</w:t>
      </w:r>
      <w:r w:rsidR="005B2962" w:rsidRPr="00CB1763">
        <w:rPr>
          <w:rFonts w:cs="Arial"/>
          <w:sz w:val="24"/>
          <w:szCs w:val="24"/>
          <w:lang w:val="fr-CA"/>
        </w:rPr>
        <w:t>s</w:t>
      </w:r>
      <w:r w:rsidR="004715E9" w:rsidRPr="00CB1763">
        <w:rPr>
          <w:rFonts w:cs="Arial"/>
          <w:sz w:val="24"/>
          <w:szCs w:val="24"/>
          <w:lang w:val="fr-CA"/>
        </w:rPr>
        <w:t xml:space="preserve"> </w:t>
      </w:r>
      <w:r w:rsidR="005B2962" w:rsidRPr="00CB1763">
        <w:rPr>
          <w:rFonts w:cs="Arial"/>
          <w:sz w:val="24"/>
          <w:szCs w:val="24"/>
          <w:lang w:val="fr-CA"/>
        </w:rPr>
        <w:t xml:space="preserve">au personnel administratif sous leur </w:t>
      </w:r>
      <w:r w:rsidR="004715E9" w:rsidRPr="00CB1763">
        <w:rPr>
          <w:rFonts w:cs="Arial"/>
          <w:sz w:val="24"/>
          <w:szCs w:val="24"/>
          <w:lang w:val="fr-CA"/>
        </w:rPr>
        <w:t xml:space="preserve">supervision </w:t>
      </w:r>
      <w:r w:rsidR="005B2962" w:rsidRPr="00CB1763">
        <w:rPr>
          <w:rFonts w:cs="Arial"/>
          <w:sz w:val="24"/>
          <w:szCs w:val="24"/>
          <w:lang w:val="fr-CA"/>
        </w:rPr>
        <w:t>lors d’une compétition.</w:t>
      </w:r>
    </w:p>
    <w:p w:rsidR="008F26DE" w:rsidRPr="00CB1763" w:rsidRDefault="008F26DE" w:rsidP="008F26DE">
      <w:pPr>
        <w:pStyle w:val="ListParagraph"/>
        <w:ind w:left="360"/>
        <w:rPr>
          <w:rFonts w:cs="Arial"/>
          <w:sz w:val="24"/>
          <w:szCs w:val="24"/>
          <w:lang w:val="fr-CA"/>
        </w:rPr>
      </w:pPr>
    </w:p>
    <w:p w:rsidR="004715E9" w:rsidRPr="00CB1763" w:rsidRDefault="00BE7584" w:rsidP="008F26DE">
      <w:pPr>
        <w:pStyle w:val="ListParagraph"/>
        <w:numPr>
          <w:ilvl w:val="0"/>
          <w:numId w:val="8"/>
        </w:numPr>
        <w:ind w:left="360"/>
        <w:rPr>
          <w:rFonts w:cs="Arial"/>
          <w:sz w:val="24"/>
          <w:szCs w:val="24"/>
          <w:lang w:val="fr-CA"/>
        </w:rPr>
      </w:pPr>
      <w:r w:rsidRPr="00CB1763">
        <w:rPr>
          <w:rFonts w:cs="Arial"/>
          <w:sz w:val="24"/>
          <w:szCs w:val="24"/>
          <w:lang w:val="fr-CA"/>
        </w:rPr>
        <w:t>En dernier lieu</w:t>
      </w:r>
      <w:r w:rsidR="004715E9" w:rsidRPr="00CB1763">
        <w:rPr>
          <w:rFonts w:cs="Arial"/>
          <w:sz w:val="24"/>
          <w:szCs w:val="24"/>
          <w:lang w:val="fr-CA"/>
        </w:rPr>
        <w:t xml:space="preserve">, </w:t>
      </w:r>
      <w:r w:rsidRPr="00CB1763">
        <w:rPr>
          <w:rFonts w:cs="Arial"/>
          <w:sz w:val="24"/>
          <w:szCs w:val="24"/>
          <w:lang w:val="fr-CA"/>
        </w:rPr>
        <w:t>l’ACSA</w:t>
      </w:r>
      <w:r w:rsidR="004715E9" w:rsidRPr="00CB1763">
        <w:rPr>
          <w:rFonts w:cs="Arial"/>
          <w:sz w:val="24"/>
          <w:szCs w:val="24"/>
          <w:lang w:val="fr-CA"/>
        </w:rPr>
        <w:t xml:space="preserve"> </w:t>
      </w:r>
      <w:r w:rsidR="00B86ECC" w:rsidRPr="00CB1763">
        <w:rPr>
          <w:rFonts w:cs="Arial"/>
          <w:sz w:val="24"/>
          <w:szCs w:val="24"/>
          <w:lang w:val="fr-CA"/>
        </w:rPr>
        <w:t>se demande pourquoi seuls les stagiaires</w:t>
      </w:r>
      <w:r w:rsidR="004715E9" w:rsidRPr="00CB1763">
        <w:rPr>
          <w:rFonts w:cs="Arial"/>
          <w:sz w:val="24"/>
          <w:szCs w:val="24"/>
          <w:lang w:val="fr-CA"/>
        </w:rPr>
        <w:t xml:space="preserve"> </w:t>
      </w:r>
      <w:r w:rsidR="00B86ECC" w:rsidRPr="00CB1763">
        <w:rPr>
          <w:rFonts w:cs="Arial"/>
          <w:sz w:val="24"/>
          <w:szCs w:val="24"/>
          <w:lang w:val="fr-CA"/>
        </w:rPr>
        <w:t>ont l’obligation de ne pas avoir d’autres fonctions</w:t>
      </w:r>
      <w:r w:rsidR="004715E9" w:rsidRPr="00CB1763">
        <w:rPr>
          <w:rFonts w:cs="Arial"/>
          <w:sz w:val="24"/>
          <w:szCs w:val="24"/>
          <w:lang w:val="fr-CA"/>
        </w:rPr>
        <w:t xml:space="preserve"> </w:t>
      </w:r>
      <w:r w:rsidR="00B86ECC" w:rsidRPr="00CB1763">
        <w:rPr>
          <w:rFonts w:cs="Arial"/>
          <w:sz w:val="24"/>
          <w:szCs w:val="24"/>
          <w:lang w:val="fr-CA"/>
        </w:rPr>
        <w:t>attribuées par leur pays d’origine lors d’une compétition.</w:t>
      </w:r>
      <w:r w:rsidR="004715E9" w:rsidRPr="00CB1763">
        <w:rPr>
          <w:rFonts w:cs="Arial"/>
          <w:sz w:val="24"/>
          <w:szCs w:val="24"/>
          <w:lang w:val="fr-CA"/>
        </w:rPr>
        <w:t xml:space="preserve"> </w:t>
      </w:r>
      <w:r w:rsidR="00246664" w:rsidRPr="00CB1763">
        <w:rPr>
          <w:rFonts w:cs="Arial"/>
          <w:sz w:val="24"/>
          <w:szCs w:val="24"/>
          <w:lang w:val="fr-CA"/>
        </w:rPr>
        <w:t>Cette exigence devrait s’appliquer à tous les responsables de la classification</w:t>
      </w:r>
      <w:r w:rsidR="004715E9" w:rsidRPr="00CB1763">
        <w:rPr>
          <w:rFonts w:cs="Arial"/>
          <w:sz w:val="24"/>
          <w:szCs w:val="24"/>
          <w:lang w:val="fr-CA"/>
        </w:rPr>
        <w:t xml:space="preserve"> </w:t>
      </w:r>
      <w:r w:rsidR="00246664" w:rsidRPr="00CB1763">
        <w:rPr>
          <w:rFonts w:cs="Arial"/>
          <w:sz w:val="24"/>
          <w:szCs w:val="24"/>
          <w:lang w:val="fr-CA"/>
        </w:rPr>
        <w:t xml:space="preserve">pour s’assurer qu’il y a bel et bien séparation entre le système de </w:t>
      </w:r>
      <w:r w:rsidR="004715E9" w:rsidRPr="00CB1763">
        <w:rPr>
          <w:rFonts w:cs="Arial"/>
          <w:sz w:val="24"/>
          <w:szCs w:val="24"/>
          <w:lang w:val="fr-CA"/>
        </w:rPr>
        <w:t>classification</w:t>
      </w:r>
      <w:r w:rsidR="00246664" w:rsidRPr="00CB1763">
        <w:rPr>
          <w:rFonts w:cs="Arial"/>
          <w:sz w:val="24"/>
          <w:szCs w:val="24"/>
          <w:lang w:val="fr-CA"/>
        </w:rPr>
        <w:t xml:space="preserve"> et la</w:t>
      </w:r>
      <w:r w:rsidR="004715E9" w:rsidRPr="00CB1763">
        <w:rPr>
          <w:rFonts w:cs="Arial"/>
          <w:sz w:val="24"/>
          <w:szCs w:val="24"/>
          <w:lang w:val="fr-CA"/>
        </w:rPr>
        <w:t xml:space="preserve"> </w:t>
      </w:r>
      <w:r w:rsidR="00246664" w:rsidRPr="00CB1763">
        <w:rPr>
          <w:rFonts w:cs="Arial"/>
          <w:sz w:val="24"/>
          <w:szCs w:val="24"/>
          <w:lang w:val="fr-CA"/>
        </w:rPr>
        <w:t>loyauté manifestée envers une équipe</w:t>
      </w:r>
      <w:r w:rsidR="004715E9" w:rsidRPr="00CB1763">
        <w:rPr>
          <w:rFonts w:cs="Arial"/>
          <w:sz w:val="24"/>
          <w:szCs w:val="24"/>
          <w:lang w:val="fr-CA"/>
        </w:rPr>
        <w:t>.</w:t>
      </w:r>
    </w:p>
    <w:p w:rsidR="004715E9" w:rsidRPr="00CB1763" w:rsidRDefault="001777DE" w:rsidP="008F26DE">
      <w:pPr>
        <w:pStyle w:val="Heading2"/>
        <w:spacing w:before="240" w:after="240"/>
        <w:rPr>
          <w:rFonts w:eastAsia="Times New Roman"/>
          <w:lang w:val="fr-CA"/>
        </w:rPr>
      </w:pPr>
      <w:bookmarkStart w:id="40" w:name="_GoBack"/>
      <w:bookmarkStart w:id="41" w:name="_Toc368318372"/>
      <w:bookmarkEnd w:id="40"/>
      <w:r w:rsidRPr="00CB1763">
        <w:rPr>
          <w:rFonts w:eastAsia="Times New Roman"/>
          <w:lang w:val="fr-CA"/>
        </w:rPr>
        <w:t xml:space="preserve">KK. </w:t>
      </w:r>
      <w:r w:rsidR="004715E9" w:rsidRPr="00CB1763">
        <w:rPr>
          <w:rFonts w:eastAsia="Times New Roman"/>
          <w:lang w:val="fr-CA"/>
        </w:rPr>
        <w:t>C</w:t>
      </w:r>
      <w:r w:rsidR="006605D1" w:rsidRPr="00CB1763">
        <w:rPr>
          <w:rFonts w:eastAsia="Times New Roman"/>
          <w:lang w:val="fr-CA"/>
        </w:rPr>
        <w:t>ode de déontologie du personnel de classification</w:t>
      </w:r>
      <w:r w:rsidR="004715E9" w:rsidRPr="00CB1763">
        <w:rPr>
          <w:rFonts w:eastAsia="Times New Roman"/>
          <w:lang w:val="fr-CA"/>
        </w:rPr>
        <w:t xml:space="preserve"> (</w:t>
      </w:r>
      <w:r w:rsidR="00B21905" w:rsidRPr="00CB1763">
        <w:rPr>
          <w:rFonts w:eastAsia="Times New Roman"/>
          <w:lang w:val="fr-CA"/>
        </w:rPr>
        <w:t xml:space="preserve">Norme internationale : Certification et formation du personnel de classification, </w:t>
      </w:r>
      <w:r w:rsidR="004715E9" w:rsidRPr="00CB1763">
        <w:rPr>
          <w:rFonts w:eastAsia="Times New Roman"/>
          <w:lang w:val="fr-CA"/>
        </w:rPr>
        <w:t xml:space="preserve"> Section 6)</w:t>
      </w:r>
      <w:bookmarkEnd w:id="41"/>
    </w:p>
    <w:p w:rsidR="004715E9" w:rsidRPr="00C34084" w:rsidRDefault="00B8649C" w:rsidP="008F26DE">
      <w:pPr>
        <w:pStyle w:val="ListParagraph"/>
        <w:numPr>
          <w:ilvl w:val="0"/>
          <w:numId w:val="8"/>
        </w:numPr>
        <w:ind w:left="360"/>
        <w:rPr>
          <w:rFonts w:cs="Arial"/>
          <w:sz w:val="24"/>
          <w:szCs w:val="24"/>
          <w:lang w:val="fr-CA"/>
        </w:rPr>
      </w:pPr>
      <w:r w:rsidRPr="00CB1763">
        <w:rPr>
          <w:rFonts w:cs="Arial"/>
          <w:sz w:val="24"/>
          <w:szCs w:val="24"/>
          <w:lang w:val="fr-CA"/>
        </w:rPr>
        <w:t>Un point dont on ne fait pas mention</w:t>
      </w:r>
      <w:r w:rsidR="004715E9" w:rsidRPr="00CB1763">
        <w:rPr>
          <w:rFonts w:cs="Arial"/>
          <w:sz w:val="24"/>
          <w:szCs w:val="24"/>
          <w:lang w:val="fr-CA"/>
        </w:rPr>
        <w:t xml:space="preserve"> </w:t>
      </w:r>
      <w:r w:rsidRPr="00CB1763">
        <w:rPr>
          <w:rFonts w:cs="Arial"/>
          <w:sz w:val="24"/>
          <w:szCs w:val="24"/>
          <w:lang w:val="fr-CA"/>
        </w:rPr>
        <w:t>à la Section 6.1.1 concerne</w:t>
      </w:r>
      <w:r w:rsidR="004715E9" w:rsidRPr="00CB1763">
        <w:rPr>
          <w:rFonts w:cs="Arial"/>
          <w:sz w:val="24"/>
          <w:szCs w:val="24"/>
          <w:lang w:val="fr-CA"/>
        </w:rPr>
        <w:t xml:space="preserve"> </w:t>
      </w:r>
      <w:r w:rsidRPr="00CB1763">
        <w:rPr>
          <w:rFonts w:cs="Arial"/>
          <w:sz w:val="24"/>
          <w:szCs w:val="24"/>
          <w:lang w:val="fr-CA"/>
        </w:rPr>
        <w:t>le fait</w:t>
      </w:r>
      <w:r w:rsidR="009D3895">
        <w:rPr>
          <w:rFonts w:cs="Arial"/>
          <w:sz w:val="24"/>
          <w:szCs w:val="24"/>
          <w:lang w:val="fr-CA"/>
        </w:rPr>
        <w:t xml:space="preserve"> pour un responsable de la classification de prodiguer des conseils à </w:t>
      </w:r>
      <w:r w:rsidRPr="00CB1763">
        <w:rPr>
          <w:rFonts w:cs="Arial"/>
          <w:sz w:val="24"/>
          <w:szCs w:val="24"/>
          <w:lang w:val="fr-CA"/>
        </w:rPr>
        <w:t>un athlète</w:t>
      </w:r>
      <w:r w:rsidR="009D3895">
        <w:rPr>
          <w:rFonts w:cs="Arial"/>
          <w:sz w:val="24"/>
          <w:szCs w:val="24"/>
          <w:lang w:val="fr-CA"/>
        </w:rPr>
        <w:t xml:space="preserve"> en lien avec </w:t>
      </w:r>
      <w:r w:rsidR="009D3895">
        <w:rPr>
          <w:rFonts w:cs="Arial"/>
          <w:sz w:val="24"/>
          <w:szCs w:val="24"/>
          <w:lang w:val="fr-CA"/>
        </w:rPr>
        <w:lastRenderedPageBreak/>
        <w:t>un trouble médical quelconque qu’il aurait pu déceler au moment de son évaluation, et que l’athlète lui-même pourrait ignorer.</w:t>
      </w:r>
      <w:r w:rsidR="004715E9" w:rsidRPr="00CB1763">
        <w:rPr>
          <w:rFonts w:cs="Arial"/>
          <w:sz w:val="24"/>
          <w:szCs w:val="24"/>
          <w:lang w:val="fr-CA"/>
        </w:rPr>
        <w:t xml:space="preserve"> </w:t>
      </w:r>
      <w:r w:rsidR="009D3895">
        <w:rPr>
          <w:rFonts w:cs="Arial"/>
          <w:sz w:val="24"/>
          <w:szCs w:val="24"/>
          <w:lang w:val="fr-CA"/>
        </w:rPr>
        <w:t>L’ACSA</w:t>
      </w:r>
      <w:r w:rsidR="004715E9" w:rsidRPr="00CB1763">
        <w:rPr>
          <w:rFonts w:cs="Arial"/>
          <w:sz w:val="24"/>
          <w:szCs w:val="24"/>
          <w:lang w:val="fr-CA"/>
        </w:rPr>
        <w:t xml:space="preserve"> </w:t>
      </w:r>
      <w:r w:rsidR="009D3895">
        <w:rPr>
          <w:rFonts w:cs="Arial"/>
          <w:sz w:val="24"/>
          <w:szCs w:val="24"/>
          <w:lang w:val="fr-CA"/>
        </w:rPr>
        <w:t>est d’avis que le responsable de la classification a la responsabilité</w:t>
      </w:r>
      <w:r w:rsidR="004715E9" w:rsidRPr="00CB1763">
        <w:rPr>
          <w:rFonts w:cs="Arial"/>
          <w:sz w:val="24"/>
          <w:szCs w:val="24"/>
          <w:lang w:val="fr-CA"/>
        </w:rPr>
        <w:t xml:space="preserve"> </w:t>
      </w:r>
      <w:r w:rsidR="009D3895">
        <w:rPr>
          <w:rFonts w:cs="Arial"/>
          <w:sz w:val="24"/>
          <w:szCs w:val="24"/>
          <w:lang w:val="fr-CA"/>
        </w:rPr>
        <w:t>d’informer l’athlète s’il découvre un trouble médical nécessitant un traitement</w:t>
      </w:r>
      <w:r w:rsidR="004715E9" w:rsidRPr="00CB1763">
        <w:rPr>
          <w:rFonts w:cs="Arial"/>
          <w:sz w:val="24"/>
          <w:szCs w:val="24"/>
          <w:lang w:val="fr-CA"/>
        </w:rPr>
        <w:t xml:space="preserve"> </w:t>
      </w:r>
      <w:r w:rsidR="00932D4C">
        <w:rPr>
          <w:rFonts w:cs="Arial"/>
          <w:sz w:val="24"/>
          <w:szCs w:val="24"/>
          <w:lang w:val="fr-CA"/>
        </w:rPr>
        <w:t>et de lui suggérer de faire appel à</w:t>
      </w:r>
      <w:r w:rsidR="004715E9" w:rsidRPr="00CB1763">
        <w:rPr>
          <w:rFonts w:cs="Arial"/>
          <w:sz w:val="24"/>
          <w:szCs w:val="24"/>
          <w:lang w:val="fr-CA"/>
        </w:rPr>
        <w:t xml:space="preserve"> </w:t>
      </w:r>
      <w:r w:rsidR="00932D4C">
        <w:rPr>
          <w:rFonts w:cs="Arial"/>
          <w:sz w:val="24"/>
          <w:szCs w:val="24"/>
          <w:lang w:val="fr-CA"/>
        </w:rPr>
        <w:t>un médecin, dans le pays où a lieu la</w:t>
      </w:r>
      <w:r w:rsidR="004715E9" w:rsidRPr="00CB1763">
        <w:rPr>
          <w:rFonts w:cs="Arial"/>
          <w:sz w:val="24"/>
          <w:szCs w:val="24"/>
          <w:lang w:val="fr-CA"/>
        </w:rPr>
        <w:t xml:space="preserve"> classification</w:t>
      </w:r>
      <w:r w:rsidR="00932D4C">
        <w:rPr>
          <w:rFonts w:cs="Arial"/>
          <w:sz w:val="24"/>
          <w:szCs w:val="24"/>
          <w:lang w:val="fr-CA"/>
        </w:rPr>
        <w:t>, ou chez lui dans son pays d’origine, afin de recevoir les soins appropriés.</w:t>
      </w:r>
      <w:r w:rsidR="004715E9" w:rsidRPr="00CB1763">
        <w:rPr>
          <w:rFonts w:cs="Arial"/>
          <w:sz w:val="24"/>
          <w:szCs w:val="24"/>
          <w:lang w:val="fr-CA"/>
        </w:rPr>
        <w:t xml:space="preserve"> </w:t>
      </w:r>
      <w:r w:rsidR="00AE1420">
        <w:rPr>
          <w:rFonts w:cs="Arial"/>
          <w:sz w:val="24"/>
          <w:szCs w:val="24"/>
          <w:lang w:val="fr-CA"/>
        </w:rPr>
        <w:t>On ne doit pas demander ni exiger d’un responsable de la classification qu’il</w:t>
      </w:r>
      <w:r w:rsidR="004715E9" w:rsidRPr="00CB1763">
        <w:rPr>
          <w:rFonts w:cs="Arial"/>
          <w:sz w:val="24"/>
          <w:szCs w:val="24"/>
          <w:lang w:val="fr-CA"/>
        </w:rPr>
        <w:t xml:space="preserve"> </w:t>
      </w:r>
      <w:r w:rsidR="00AE1420">
        <w:rPr>
          <w:rFonts w:cs="Arial"/>
          <w:sz w:val="24"/>
          <w:szCs w:val="24"/>
          <w:lang w:val="fr-CA"/>
        </w:rPr>
        <w:t>prodigue des soins médicaux dans un pays où il n’est pas autorisé à le faire.</w:t>
      </w:r>
      <w:r w:rsidR="004715E9" w:rsidRPr="00CB1763">
        <w:rPr>
          <w:rFonts w:cs="Arial"/>
          <w:sz w:val="24"/>
          <w:szCs w:val="24"/>
          <w:lang w:val="fr-CA"/>
        </w:rPr>
        <w:t xml:space="preserve"> </w:t>
      </w:r>
      <w:r w:rsidR="00C34084" w:rsidRPr="00C34084">
        <w:rPr>
          <w:rFonts w:cs="Arial"/>
          <w:sz w:val="24"/>
          <w:szCs w:val="24"/>
          <w:lang w:val="fr-CA"/>
        </w:rPr>
        <w:t>En agissant ainsi, le responsable de la classification respecte le</w:t>
      </w:r>
      <w:r w:rsidR="004715E9" w:rsidRPr="00C34084">
        <w:rPr>
          <w:rFonts w:cs="Arial"/>
          <w:sz w:val="24"/>
          <w:szCs w:val="24"/>
          <w:lang w:val="fr-CA"/>
        </w:rPr>
        <w:t xml:space="preserve"> </w:t>
      </w:r>
      <w:r w:rsidR="00AE1420" w:rsidRPr="00C34084">
        <w:rPr>
          <w:rFonts w:cs="Arial"/>
          <w:sz w:val="24"/>
          <w:szCs w:val="24"/>
          <w:lang w:val="fr-CA"/>
        </w:rPr>
        <w:t>serment d’Hippocrate</w:t>
      </w:r>
      <w:r w:rsidR="004715E9" w:rsidRPr="00C34084">
        <w:rPr>
          <w:rFonts w:cs="Arial"/>
          <w:sz w:val="24"/>
          <w:szCs w:val="24"/>
          <w:lang w:val="fr-CA"/>
        </w:rPr>
        <w:t xml:space="preserve">, </w:t>
      </w:r>
      <w:r w:rsidR="00C34084">
        <w:rPr>
          <w:rFonts w:cs="Arial"/>
          <w:sz w:val="24"/>
          <w:szCs w:val="24"/>
          <w:lang w:val="fr-CA"/>
        </w:rPr>
        <w:t>c’est-à-dire qu’il exerce ses fonctions dans le respect de la dignité de la personne humaine et</w:t>
      </w:r>
      <w:r w:rsidR="004715E9" w:rsidRPr="00C34084">
        <w:rPr>
          <w:rFonts w:cs="Arial"/>
          <w:sz w:val="24"/>
          <w:szCs w:val="24"/>
          <w:lang w:val="fr-CA"/>
        </w:rPr>
        <w:t xml:space="preserve"> </w:t>
      </w:r>
      <w:r w:rsidR="00C34084">
        <w:rPr>
          <w:rFonts w:cs="Arial"/>
          <w:sz w:val="24"/>
          <w:szCs w:val="24"/>
          <w:lang w:val="fr-CA"/>
        </w:rPr>
        <w:t>qu’il préserve son intégrité professionnelle</w:t>
      </w:r>
      <w:r w:rsidR="004715E9" w:rsidRPr="00C34084">
        <w:rPr>
          <w:rFonts w:cs="Arial"/>
          <w:sz w:val="24"/>
          <w:szCs w:val="24"/>
          <w:lang w:val="fr-CA"/>
        </w:rPr>
        <w:t>.</w:t>
      </w:r>
    </w:p>
    <w:p w:rsidR="008F26DE" w:rsidRPr="00C34084" w:rsidRDefault="008F26DE" w:rsidP="008F26DE">
      <w:pPr>
        <w:pStyle w:val="ListParagraph"/>
        <w:spacing w:before="240" w:after="240"/>
        <w:ind w:left="360"/>
        <w:rPr>
          <w:rFonts w:cs="Arial"/>
          <w:sz w:val="24"/>
          <w:szCs w:val="24"/>
          <w:lang w:val="fr-CA"/>
        </w:rPr>
      </w:pPr>
    </w:p>
    <w:p w:rsidR="004715E9" w:rsidRPr="00B66A9A" w:rsidRDefault="004845CD" w:rsidP="008F26DE">
      <w:pPr>
        <w:pStyle w:val="ListParagraph"/>
        <w:numPr>
          <w:ilvl w:val="0"/>
          <w:numId w:val="8"/>
        </w:numPr>
        <w:spacing w:before="240" w:after="240"/>
        <w:ind w:left="360"/>
        <w:rPr>
          <w:rFonts w:cs="Arial"/>
          <w:sz w:val="24"/>
          <w:szCs w:val="24"/>
          <w:lang w:val="fr-CA"/>
        </w:rPr>
      </w:pPr>
      <w:r w:rsidRPr="00F83A26">
        <w:rPr>
          <w:rFonts w:cs="Arial"/>
          <w:sz w:val="24"/>
          <w:szCs w:val="24"/>
          <w:lang w:val="fr-CA"/>
        </w:rPr>
        <w:t xml:space="preserve">La </w:t>
      </w:r>
      <w:r w:rsidR="004715E9" w:rsidRPr="00F83A26">
        <w:rPr>
          <w:rFonts w:cs="Arial"/>
          <w:sz w:val="24"/>
          <w:szCs w:val="24"/>
          <w:lang w:val="fr-CA"/>
        </w:rPr>
        <w:t xml:space="preserve">Section 6.2 </w:t>
      </w:r>
      <w:r w:rsidRPr="00F83A26">
        <w:rPr>
          <w:rFonts w:cs="Arial"/>
          <w:sz w:val="24"/>
          <w:szCs w:val="24"/>
          <w:lang w:val="fr-CA"/>
        </w:rPr>
        <w:t xml:space="preserve">de la politique devrait être </w:t>
      </w:r>
      <w:r w:rsidR="00F83A26" w:rsidRPr="00F83A26">
        <w:rPr>
          <w:rFonts w:cs="Arial"/>
          <w:sz w:val="24"/>
          <w:szCs w:val="24"/>
          <w:lang w:val="fr-CA"/>
        </w:rPr>
        <w:t>modifiée</w:t>
      </w:r>
      <w:r w:rsidR="00F83A26">
        <w:rPr>
          <w:rFonts w:cs="Arial"/>
          <w:sz w:val="24"/>
          <w:szCs w:val="24"/>
          <w:lang w:val="fr-CA"/>
        </w:rPr>
        <w:t>, pour qu’on y fasse état de tous les éléments traditionnels de</w:t>
      </w:r>
      <w:r w:rsidR="004715E9" w:rsidRPr="00F83A26">
        <w:rPr>
          <w:rFonts w:cs="Arial"/>
          <w:sz w:val="24"/>
          <w:szCs w:val="24"/>
          <w:lang w:val="fr-CA"/>
        </w:rPr>
        <w:t xml:space="preserve"> discrimination</w:t>
      </w:r>
      <w:r w:rsidR="00F83A26">
        <w:rPr>
          <w:rFonts w:cs="Arial"/>
          <w:sz w:val="24"/>
          <w:szCs w:val="24"/>
          <w:lang w:val="fr-CA"/>
        </w:rPr>
        <w:t>, tels l’âge, le sexe, l’orientation sexuelle,</w:t>
      </w:r>
      <w:r w:rsidR="004715E9" w:rsidRPr="00F83A26">
        <w:rPr>
          <w:rFonts w:cs="Arial"/>
          <w:sz w:val="24"/>
          <w:szCs w:val="24"/>
          <w:lang w:val="fr-CA"/>
        </w:rPr>
        <w:t xml:space="preserve"> </w:t>
      </w:r>
      <w:r w:rsidR="00F83A26">
        <w:rPr>
          <w:rFonts w:cs="Arial"/>
          <w:sz w:val="24"/>
          <w:szCs w:val="24"/>
          <w:lang w:val="fr-CA"/>
        </w:rPr>
        <w:t xml:space="preserve">la </w:t>
      </w:r>
      <w:r w:rsidR="004715E9" w:rsidRPr="00F83A26">
        <w:rPr>
          <w:rFonts w:cs="Arial"/>
          <w:sz w:val="24"/>
          <w:szCs w:val="24"/>
          <w:lang w:val="fr-CA"/>
        </w:rPr>
        <w:t xml:space="preserve">race, </w:t>
      </w:r>
      <w:r w:rsidR="00F83A26">
        <w:rPr>
          <w:rFonts w:cs="Arial"/>
          <w:sz w:val="24"/>
          <w:szCs w:val="24"/>
          <w:lang w:val="fr-CA"/>
        </w:rPr>
        <w:t xml:space="preserve">la </w:t>
      </w:r>
      <w:r w:rsidR="004715E9" w:rsidRPr="00F83A26">
        <w:rPr>
          <w:rFonts w:cs="Arial"/>
          <w:sz w:val="24"/>
          <w:szCs w:val="24"/>
          <w:lang w:val="fr-CA"/>
        </w:rPr>
        <w:t xml:space="preserve">religion, </w:t>
      </w:r>
      <w:r w:rsidR="00F83A26">
        <w:rPr>
          <w:rFonts w:cs="Arial"/>
          <w:sz w:val="24"/>
          <w:szCs w:val="24"/>
          <w:lang w:val="fr-CA"/>
        </w:rPr>
        <w:t>une incapacité ou invalidité, ou la situation économique</w:t>
      </w:r>
      <w:r w:rsidR="0053025D" w:rsidRPr="00F83A26">
        <w:rPr>
          <w:rFonts w:cs="Arial"/>
          <w:sz w:val="24"/>
          <w:szCs w:val="24"/>
          <w:lang w:val="fr-CA"/>
        </w:rPr>
        <w:t>.</w:t>
      </w:r>
      <w:r w:rsidR="00E875A1" w:rsidRPr="00F83A26">
        <w:rPr>
          <w:rFonts w:cs="Arial"/>
          <w:sz w:val="24"/>
          <w:szCs w:val="24"/>
          <w:lang w:val="fr-CA"/>
        </w:rPr>
        <w:t xml:space="preserve"> </w:t>
      </w:r>
      <w:r w:rsidR="00B66A9A" w:rsidRPr="00B66A9A">
        <w:rPr>
          <w:rFonts w:cs="Arial"/>
          <w:sz w:val="24"/>
          <w:szCs w:val="24"/>
          <w:lang w:val="fr-CA"/>
        </w:rPr>
        <w:t>En intégrant ces éléments au Code, on s’assure que le processus de</w:t>
      </w:r>
      <w:r w:rsidR="004715E9" w:rsidRPr="00B66A9A">
        <w:rPr>
          <w:rFonts w:cs="Arial"/>
          <w:sz w:val="24"/>
          <w:szCs w:val="24"/>
          <w:lang w:val="fr-CA"/>
        </w:rPr>
        <w:t xml:space="preserve"> classification </w:t>
      </w:r>
      <w:r w:rsidR="00B66A9A">
        <w:rPr>
          <w:rFonts w:cs="Arial"/>
          <w:sz w:val="24"/>
          <w:szCs w:val="24"/>
          <w:lang w:val="fr-CA"/>
        </w:rPr>
        <w:t>sera juste et équitable pour tous et toutes</w:t>
      </w:r>
      <w:r w:rsidR="003E0D60" w:rsidRPr="00B66A9A">
        <w:rPr>
          <w:rFonts w:cs="Arial"/>
          <w:sz w:val="24"/>
          <w:szCs w:val="24"/>
          <w:lang w:val="fr-CA"/>
        </w:rPr>
        <w:t>.</w:t>
      </w:r>
    </w:p>
    <w:p w:rsidR="004715E9" w:rsidRPr="00CB1763" w:rsidRDefault="004715E9" w:rsidP="008F26DE">
      <w:pPr>
        <w:pStyle w:val="Heading1"/>
        <w:numPr>
          <w:ilvl w:val="0"/>
          <w:numId w:val="10"/>
        </w:numPr>
        <w:spacing w:before="240" w:after="240"/>
        <w:ind w:left="360" w:hanging="360"/>
        <w:rPr>
          <w:rFonts w:eastAsia="Times New Roman"/>
          <w:lang w:val="fr-CA"/>
        </w:rPr>
      </w:pPr>
      <w:bookmarkStart w:id="42" w:name="_Toc368318373"/>
      <w:r w:rsidRPr="00CB1763">
        <w:rPr>
          <w:rFonts w:eastAsia="Times New Roman"/>
          <w:lang w:val="fr-CA"/>
        </w:rPr>
        <w:t>Conclusion</w:t>
      </w:r>
      <w:bookmarkEnd w:id="42"/>
    </w:p>
    <w:p w:rsidR="004715E9" w:rsidRPr="006164B9" w:rsidRDefault="003D0289" w:rsidP="008F26DE">
      <w:pPr>
        <w:pStyle w:val="ListParagraph"/>
        <w:numPr>
          <w:ilvl w:val="0"/>
          <w:numId w:val="8"/>
        </w:numPr>
        <w:spacing w:before="240" w:after="240"/>
        <w:ind w:left="360"/>
        <w:rPr>
          <w:rFonts w:cs="Arial"/>
          <w:sz w:val="24"/>
          <w:szCs w:val="24"/>
          <w:lang w:val="fr-CA"/>
        </w:rPr>
      </w:pPr>
      <w:r w:rsidRPr="00CB1763">
        <w:rPr>
          <w:rFonts w:cs="Arial"/>
          <w:sz w:val="24"/>
          <w:szCs w:val="24"/>
          <w:lang w:val="fr-CA"/>
        </w:rPr>
        <w:t>L’ACSA</w:t>
      </w:r>
      <w:r w:rsidR="004715E9" w:rsidRPr="00CB1763">
        <w:rPr>
          <w:rFonts w:cs="Arial"/>
          <w:sz w:val="24"/>
          <w:szCs w:val="24"/>
          <w:lang w:val="fr-CA"/>
        </w:rPr>
        <w:t xml:space="preserve"> </w:t>
      </w:r>
      <w:r w:rsidRPr="00CB1763">
        <w:rPr>
          <w:rFonts w:cs="Arial"/>
          <w:sz w:val="24"/>
          <w:szCs w:val="24"/>
          <w:lang w:val="fr-CA"/>
        </w:rPr>
        <w:t>remercie les membres du comité de classification</w:t>
      </w:r>
      <w:r w:rsidR="004715E9" w:rsidRPr="00CB1763">
        <w:rPr>
          <w:rFonts w:cs="Arial"/>
          <w:sz w:val="24"/>
          <w:szCs w:val="24"/>
          <w:lang w:val="fr-CA"/>
        </w:rPr>
        <w:t xml:space="preserve"> </w:t>
      </w:r>
      <w:r w:rsidRPr="00CB1763">
        <w:rPr>
          <w:rFonts w:cs="Arial"/>
          <w:sz w:val="24"/>
          <w:szCs w:val="24"/>
          <w:lang w:val="fr-CA"/>
        </w:rPr>
        <w:t>du CIP</w:t>
      </w:r>
      <w:r w:rsidR="004715E9" w:rsidRPr="00CB1763">
        <w:rPr>
          <w:rFonts w:cs="Arial"/>
          <w:sz w:val="24"/>
          <w:szCs w:val="24"/>
          <w:lang w:val="fr-CA"/>
        </w:rPr>
        <w:t xml:space="preserve"> </w:t>
      </w:r>
      <w:r w:rsidR="008A4959" w:rsidRPr="00CB1763">
        <w:rPr>
          <w:rFonts w:cs="Arial"/>
          <w:sz w:val="24"/>
          <w:szCs w:val="24"/>
          <w:lang w:val="fr-CA"/>
        </w:rPr>
        <w:t>de prendre en considération les observations et commentaires formulés</w:t>
      </w:r>
      <w:r w:rsidR="004715E9" w:rsidRPr="00CB1763">
        <w:rPr>
          <w:rFonts w:cs="Arial"/>
          <w:sz w:val="24"/>
          <w:szCs w:val="24"/>
          <w:lang w:val="fr-CA"/>
        </w:rPr>
        <w:t xml:space="preserve">. </w:t>
      </w:r>
      <w:r w:rsidR="008A4959" w:rsidRPr="006164B9">
        <w:rPr>
          <w:rFonts w:cs="Arial"/>
          <w:sz w:val="24"/>
          <w:szCs w:val="24"/>
          <w:lang w:val="fr-CA"/>
        </w:rPr>
        <w:t xml:space="preserve">Nous </w:t>
      </w:r>
      <w:r w:rsidR="006164B9" w:rsidRPr="006164B9">
        <w:rPr>
          <w:rFonts w:cs="Arial"/>
          <w:sz w:val="24"/>
          <w:szCs w:val="24"/>
          <w:lang w:val="fr-CA"/>
        </w:rPr>
        <w:t xml:space="preserve">attendons avec impatience le moment de </w:t>
      </w:r>
      <w:r w:rsidR="006164B9">
        <w:rPr>
          <w:rFonts w:cs="Arial"/>
          <w:sz w:val="24"/>
          <w:szCs w:val="24"/>
          <w:lang w:val="fr-CA"/>
        </w:rPr>
        <w:t>ré</w:t>
      </w:r>
      <w:r w:rsidR="006164B9" w:rsidRPr="006164B9">
        <w:rPr>
          <w:rFonts w:cs="Arial"/>
          <w:sz w:val="24"/>
          <w:szCs w:val="24"/>
          <w:lang w:val="fr-CA"/>
        </w:rPr>
        <w:t>viser la prochaine édition</w:t>
      </w:r>
      <w:r w:rsidR="006164B9">
        <w:rPr>
          <w:rFonts w:cs="Arial"/>
          <w:sz w:val="24"/>
          <w:szCs w:val="24"/>
          <w:lang w:val="fr-CA"/>
        </w:rPr>
        <w:t xml:space="preserve"> du Code de c</w:t>
      </w:r>
      <w:r w:rsidR="004715E9" w:rsidRPr="006164B9">
        <w:rPr>
          <w:rFonts w:cs="Arial"/>
          <w:sz w:val="24"/>
          <w:szCs w:val="24"/>
          <w:lang w:val="fr-CA"/>
        </w:rPr>
        <w:t>lassi</w:t>
      </w:r>
      <w:r w:rsidR="006164B9">
        <w:rPr>
          <w:rFonts w:cs="Arial"/>
          <w:sz w:val="24"/>
          <w:szCs w:val="24"/>
          <w:lang w:val="fr-CA"/>
        </w:rPr>
        <w:t>fication et les normes internationales</w:t>
      </w:r>
      <w:r w:rsidR="004715E9" w:rsidRPr="006164B9">
        <w:rPr>
          <w:rFonts w:cs="Arial"/>
          <w:sz w:val="24"/>
          <w:szCs w:val="24"/>
          <w:lang w:val="fr-CA"/>
        </w:rPr>
        <w:t xml:space="preserve"> applicable</w:t>
      </w:r>
      <w:r w:rsidR="006164B9">
        <w:rPr>
          <w:rFonts w:cs="Arial"/>
          <w:sz w:val="24"/>
          <w:szCs w:val="24"/>
          <w:lang w:val="fr-CA"/>
        </w:rPr>
        <w:t>s</w:t>
      </w:r>
      <w:r w:rsidR="004715E9" w:rsidRPr="006164B9">
        <w:rPr>
          <w:rFonts w:cs="Arial"/>
          <w:sz w:val="24"/>
          <w:szCs w:val="24"/>
          <w:lang w:val="fr-CA"/>
        </w:rPr>
        <w:t xml:space="preserve"> </w:t>
      </w:r>
      <w:r w:rsidR="006164B9">
        <w:rPr>
          <w:rFonts w:cs="Arial"/>
          <w:sz w:val="24"/>
          <w:szCs w:val="24"/>
          <w:lang w:val="fr-CA"/>
        </w:rPr>
        <w:t>lors de la prochaine série de</w:t>
      </w:r>
      <w:r w:rsidR="00DB6E3F" w:rsidRPr="006164B9">
        <w:rPr>
          <w:rFonts w:cs="Arial"/>
          <w:sz w:val="24"/>
          <w:szCs w:val="24"/>
          <w:lang w:val="fr-CA"/>
        </w:rPr>
        <w:t xml:space="preserve"> consultations.</w:t>
      </w:r>
    </w:p>
    <w:p w:rsidR="004715E9" w:rsidRPr="00CB1763" w:rsidRDefault="008822A7" w:rsidP="004715E9">
      <w:pPr>
        <w:rPr>
          <w:rFonts w:ascii="Arial" w:eastAsia="Times New Roman" w:hAnsi="Arial" w:cs="Arial"/>
          <w:sz w:val="24"/>
          <w:szCs w:val="24"/>
          <w:lang w:val="fr-CA"/>
        </w:rPr>
      </w:pPr>
      <w:r w:rsidRPr="00CB1763">
        <w:rPr>
          <w:rFonts w:ascii="Arial" w:eastAsia="Times New Roman" w:hAnsi="Arial" w:cs="Arial"/>
          <w:sz w:val="24"/>
          <w:szCs w:val="24"/>
          <w:lang w:val="fr-CA"/>
        </w:rPr>
        <w:t>Le tout respectueusement présenté,</w:t>
      </w:r>
    </w:p>
    <w:p w:rsidR="004715E9" w:rsidRPr="00CB1763" w:rsidRDefault="004715E9" w:rsidP="004715E9">
      <w:pPr>
        <w:rPr>
          <w:rFonts w:ascii="Arial" w:eastAsia="Times New Roman" w:hAnsi="Arial" w:cs="Arial"/>
          <w:sz w:val="24"/>
          <w:szCs w:val="24"/>
          <w:lang w:val="fr-CA"/>
        </w:rPr>
      </w:pPr>
    </w:p>
    <w:p w:rsidR="004715E9" w:rsidRPr="00CB1763" w:rsidRDefault="004715E9" w:rsidP="004715E9">
      <w:pPr>
        <w:rPr>
          <w:rFonts w:ascii="Arial" w:eastAsia="Times New Roman" w:hAnsi="Arial" w:cs="Arial"/>
          <w:sz w:val="24"/>
          <w:szCs w:val="24"/>
          <w:lang w:val="fr-CA"/>
        </w:rPr>
      </w:pPr>
      <w:r w:rsidRPr="00CB1763">
        <w:rPr>
          <w:rFonts w:ascii="Arial" w:eastAsia="Times New Roman" w:hAnsi="Arial" w:cs="Arial"/>
          <w:sz w:val="24"/>
          <w:szCs w:val="24"/>
          <w:lang w:val="fr-CA"/>
        </w:rPr>
        <w:t>Robert J. Fenton</w:t>
      </w:r>
    </w:p>
    <w:p w:rsidR="004715E9" w:rsidRPr="00CB1763" w:rsidRDefault="003E0D60" w:rsidP="004715E9">
      <w:pPr>
        <w:rPr>
          <w:rFonts w:ascii="Arial" w:eastAsia="Times New Roman" w:hAnsi="Arial" w:cs="Arial"/>
          <w:sz w:val="24"/>
          <w:szCs w:val="24"/>
          <w:lang w:val="fr-CA"/>
        </w:rPr>
      </w:pPr>
      <w:r w:rsidRPr="00CB1763">
        <w:rPr>
          <w:rFonts w:ascii="Arial" w:eastAsia="Times New Roman" w:hAnsi="Arial" w:cs="Arial"/>
          <w:sz w:val="24"/>
          <w:szCs w:val="24"/>
          <w:lang w:val="fr-CA"/>
        </w:rPr>
        <w:t>Pré</w:t>
      </w:r>
      <w:r w:rsidR="00FE04CF" w:rsidRPr="00CB1763">
        <w:rPr>
          <w:rFonts w:ascii="Arial" w:eastAsia="Times New Roman" w:hAnsi="Arial" w:cs="Arial"/>
          <w:sz w:val="24"/>
          <w:szCs w:val="24"/>
          <w:lang w:val="fr-CA"/>
        </w:rPr>
        <w:t xml:space="preserve">sident, </w:t>
      </w:r>
      <w:r w:rsidR="004715E9" w:rsidRPr="00CB1763">
        <w:rPr>
          <w:rFonts w:ascii="Arial" w:eastAsia="Times New Roman" w:hAnsi="Arial" w:cs="Arial"/>
          <w:sz w:val="24"/>
          <w:szCs w:val="24"/>
          <w:lang w:val="fr-CA"/>
        </w:rPr>
        <w:t>Association</w:t>
      </w:r>
      <w:r w:rsidR="00FE04CF" w:rsidRPr="00CB1763">
        <w:rPr>
          <w:rFonts w:ascii="Arial" w:eastAsia="Times New Roman" w:hAnsi="Arial" w:cs="Arial"/>
          <w:sz w:val="24"/>
          <w:szCs w:val="24"/>
          <w:lang w:val="fr-CA"/>
        </w:rPr>
        <w:t xml:space="preserve"> canadienne des sports pour aveugles</w:t>
      </w:r>
    </w:p>
    <w:p w:rsidR="004715E9" w:rsidRPr="00CB1763" w:rsidRDefault="004715E9" w:rsidP="004715E9">
      <w:pPr>
        <w:rPr>
          <w:rFonts w:ascii="Arial" w:eastAsia="Times New Roman" w:hAnsi="Arial" w:cs="Arial"/>
          <w:sz w:val="24"/>
          <w:szCs w:val="24"/>
          <w:lang w:val="fr-CA"/>
        </w:rPr>
      </w:pPr>
    </w:p>
    <w:p w:rsidR="00C11769" w:rsidRPr="00CB1763" w:rsidRDefault="004715E9" w:rsidP="00C11769">
      <w:pPr>
        <w:rPr>
          <w:rFonts w:ascii="Arial" w:eastAsia="Times New Roman" w:hAnsi="Arial" w:cs="Arial"/>
          <w:sz w:val="24"/>
          <w:szCs w:val="24"/>
          <w:lang w:val="fr-CA"/>
        </w:rPr>
        <w:sectPr w:rsidR="00C11769" w:rsidRPr="00CB1763" w:rsidSect="008A50D0">
          <w:pgSz w:w="12240" w:h="15840"/>
          <w:pgMar w:top="1440" w:right="1440" w:bottom="1440" w:left="1440" w:header="720" w:footer="720" w:gutter="0"/>
          <w:cols w:space="720"/>
          <w:docGrid w:linePitch="360"/>
        </w:sectPr>
      </w:pPr>
      <w:r w:rsidRPr="00CB1763">
        <w:rPr>
          <w:rFonts w:ascii="Arial" w:eastAsia="Times New Roman" w:hAnsi="Arial" w:cs="Arial"/>
          <w:sz w:val="24"/>
          <w:szCs w:val="24"/>
          <w:lang w:val="fr-CA"/>
        </w:rPr>
        <w:t xml:space="preserve"> </w:t>
      </w:r>
    </w:p>
    <w:p w:rsidR="00C11769" w:rsidRPr="00CF42C6" w:rsidRDefault="0073474B" w:rsidP="00C11769">
      <w:pPr>
        <w:rPr>
          <w:rFonts w:ascii="Arial" w:hAnsi="Arial" w:cs="Arial"/>
          <w:b/>
          <w:sz w:val="24"/>
          <w:szCs w:val="24"/>
          <w:lang w:val="en-CA"/>
        </w:rPr>
      </w:pPr>
      <w:proofErr w:type="spellStart"/>
      <w:r w:rsidRPr="00CF42C6">
        <w:rPr>
          <w:rFonts w:ascii="Arial" w:hAnsi="Arial" w:cs="Arial"/>
          <w:b/>
          <w:sz w:val="24"/>
          <w:szCs w:val="24"/>
          <w:lang w:val="en-CA"/>
        </w:rPr>
        <w:lastRenderedPageBreak/>
        <w:t>Bibliographie</w:t>
      </w:r>
      <w:proofErr w:type="spellEnd"/>
    </w:p>
    <w:p w:rsidR="00C11769" w:rsidRPr="00CB1763" w:rsidRDefault="00C11769" w:rsidP="00C11769">
      <w:pPr>
        <w:rPr>
          <w:rFonts w:ascii="Arial" w:hAnsi="Arial" w:cs="Arial"/>
          <w:sz w:val="24"/>
          <w:szCs w:val="24"/>
          <w:lang w:val="fr-CA"/>
        </w:rPr>
      </w:pPr>
      <w:r w:rsidRPr="00CF42C6">
        <w:rPr>
          <w:rFonts w:ascii="Arial" w:hAnsi="Arial" w:cs="Arial"/>
          <w:sz w:val="24"/>
          <w:szCs w:val="24"/>
          <w:lang w:val="en-CA"/>
        </w:rPr>
        <w:t xml:space="preserve">Bishop, V.E, (1996) </w:t>
      </w:r>
      <w:r w:rsidRPr="00CF42C6">
        <w:rPr>
          <w:rFonts w:ascii="Arial" w:hAnsi="Arial" w:cs="Arial"/>
          <w:i/>
          <w:sz w:val="24"/>
          <w:szCs w:val="24"/>
          <w:lang w:val="en-CA"/>
        </w:rPr>
        <w:t>Preschool Ch</w:t>
      </w:r>
      <w:r w:rsidR="005E4F39" w:rsidRPr="00CF42C6">
        <w:rPr>
          <w:rFonts w:ascii="Arial" w:hAnsi="Arial" w:cs="Arial"/>
          <w:i/>
          <w:sz w:val="24"/>
          <w:szCs w:val="24"/>
          <w:lang w:val="en-CA"/>
        </w:rPr>
        <w:t>ildren with Visual Impairments -</w:t>
      </w:r>
      <w:r w:rsidRPr="00CF42C6">
        <w:rPr>
          <w:rFonts w:ascii="Arial" w:hAnsi="Arial" w:cs="Arial"/>
          <w:sz w:val="24"/>
          <w:szCs w:val="24"/>
          <w:lang w:val="en-CA"/>
        </w:rPr>
        <w:t xml:space="preserve"> Texas School for the Blind and Visually Impaired. </w:t>
      </w:r>
      <w:r w:rsidR="005E4F39" w:rsidRPr="00CB1763">
        <w:rPr>
          <w:rFonts w:ascii="Arial" w:hAnsi="Arial" w:cs="Arial"/>
          <w:sz w:val="24"/>
          <w:szCs w:val="24"/>
          <w:lang w:val="fr-CA"/>
        </w:rPr>
        <w:t>Lien :</w:t>
      </w:r>
      <w:r w:rsidRPr="00CB1763">
        <w:rPr>
          <w:rFonts w:ascii="Arial" w:hAnsi="Arial" w:cs="Arial"/>
          <w:sz w:val="24"/>
          <w:szCs w:val="24"/>
          <w:lang w:val="fr-CA"/>
        </w:rPr>
        <w:t xml:space="preserve"> </w:t>
      </w:r>
      <w:hyperlink r:id="rId9" w:history="1">
        <w:r w:rsidRPr="00CB1763">
          <w:rPr>
            <w:rStyle w:val="Hyperlink"/>
            <w:rFonts w:ascii="Arial" w:hAnsi="Arial" w:cs="Arial"/>
            <w:sz w:val="24"/>
            <w:szCs w:val="24"/>
            <w:lang w:val="fr-CA"/>
          </w:rPr>
          <w:t>http://www.tsbvi.edu/curriculum-a-publications/3/1069-preschool-children-with-visual-impairments-by-virginia-bishop</w:t>
        </w:r>
      </w:hyperlink>
    </w:p>
    <w:p w:rsidR="00C11769" w:rsidRPr="00CB1763" w:rsidRDefault="005E4F39" w:rsidP="00C11769">
      <w:pPr>
        <w:rPr>
          <w:rFonts w:ascii="Arial" w:hAnsi="Arial" w:cs="Arial"/>
          <w:sz w:val="24"/>
          <w:szCs w:val="24"/>
          <w:lang w:val="fr-CA"/>
        </w:rPr>
      </w:pPr>
      <w:r w:rsidRPr="00CB1763">
        <w:rPr>
          <w:rFonts w:ascii="Arial" w:hAnsi="Arial" w:cs="Arial"/>
          <w:i/>
          <w:sz w:val="24"/>
          <w:szCs w:val="24"/>
          <w:lang w:val="fr-CA"/>
        </w:rPr>
        <w:t>Au Canada, le sport c’est pour la vie</w:t>
      </w:r>
      <w:r w:rsidR="00C11769" w:rsidRPr="00CB1763">
        <w:rPr>
          <w:rFonts w:ascii="Arial" w:hAnsi="Arial" w:cs="Arial"/>
          <w:sz w:val="24"/>
          <w:szCs w:val="24"/>
          <w:lang w:val="fr-CA"/>
        </w:rPr>
        <w:t>.</w:t>
      </w:r>
      <w:r w:rsidR="005A1771" w:rsidRPr="00CB1763">
        <w:rPr>
          <w:rFonts w:ascii="Arial" w:hAnsi="Arial" w:cs="Arial"/>
          <w:sz w:val="24"/>
          <w:szCs w:val="24"/>
          <w:lang w:val="fr-CA"/>
        </w:rPr>
        <w:t xml:space="preserve"> (</w:t>
      </w:r>
      <w:proofErr w:type="gramStart"/>
      <w:r w:rsidRPr="00CB1763">
        <w:rPr>
          <w:rFonts w:ascii="Arial" w:hAnsi="Arial" w:cs="Arial"/>
          <w:sz w:val="24"/>
          <w:szCs w:val="24"/>
          <w:lang w:val="fr-CA"/>
        </w:rPr>
        <w:t>sans</w:t>
      </w:r>
      <w:proofErr w:type="gramEnd"/>
      <w:r w:rsidRPr="00CB1763">
        <w:rPr>
          <w:rFonts w:ascii="Arial" w:hAnsi="Arial" w:cs="Arial"/>
          <w:sz w:val="24"/>
          <w:szCs w:val="24"/>
          <w:lang w:val="fr-CA"/>
        </w:rPr>
        <w:t xml:space="preserve"> date</w:t>
      </w:r>
      <w:r w:rsidR="005A1771" w:rsidRPr="00CB1763">
        <w:rPr>
          <w:rFonts w:ascii="Arial" w:hAnsi="Arial" w:cs="Arial"/>
          <w:sz w:val="24"/>
          <w:szCs w:val="24"/>
          <w:lang w:val="fr-CA"/>
        </w:rPr>
        <w:t>)</w:t>
      </w:r>
      <w:r w:rsidR="00C11769" w:rsidRPr="00CB1763">
        <w:rPr>
          <w:rFonts w:ascii="Arial" w:hAnsi="Arial" w:cs="Arial"/>
          <w:sz w:val="24"/>
          <w:szCs w:val="24"/>
          <w:lang w:val="fr-CA"/>
        </w:rPr>
        <w:t xml:space="preserve"> </w:t>
      </w:r>
      <w:r w:rsidRPr="00CB1763">
        <w:rPr>
          <w:rFonts w:ascii="Arial" w:hAnsi="Arial" w:cs="Arial"/>
          <w:sz w:val="24"/>
          <w:szCs w:val="24"/>
          <w:lang w:val="fr-CA"/>
        </w:rPr>
        <w:t>Lien en date du 30 septembre :</w:t>
      </w:r>
      <w:r w:rsidR="00C11769" w:rsidRPr="00CB1763">
        <w:rPr>
          <w:rFonts w:ascii="Arial" w:hAnsi="Arial" w:cs="Arial"/>
          <w:sz w:val="24"/>
          <w:szCs w:val="24"/>
          <w:lang w:val="fr-CA"/>
        </w:rPr>
        <w:t xml:space="preserve"> </w:t>
      </w:r>
      <w:r w:rsidR="00487409">
        <w:fldChar w:fldCharType="begin"/>
      </w:r>
      <w:r w:rsidR="00487409" w:rsidRPr="00096F3E">
        <w:rPr>
          <w:lang w:val="fr-CA"/>
        </w:rPr>
        <w:instrText>HYPERLINK "http://canadiansportforlife.ca/fr/learn-about-canadian-sport-life/cs4l-organization"</w:instrText>
      </w:r>
      <w:r w:rsidR="00487409">
        <w:fldChar w:fldCharType="separate"/>
      </w:r>
      <w:r w:rsidRPr="00CB1763">
        <w:rPr>
          <w:rStyle w:val="Hyperlink"/>
          <w:rFonts w:ascii="Arial" w:hAnsi="Arial" w:cs="Arial"/>
          <w:sz w:val="24"/>
          <w:szCs w:val="24"/>
          <w:lang w:val="fr-CA"/>
        </w:rPr>
        <w:t>http://canadiansportforlife.ca/fr/learn-about-canadian-sport-life/cs4l-organization</w:t>
      </w:r>
      <w:r w:rsidR="00487409">
        <w:fldChar w:fldCharType="end"/>
      </w:r>
    </w:p>
    <w:p w:rsidR="00C11769" w:rsidRPr="00CB1763" w:rsidRDefault="005E4F39" w:rsidP="00C11769">
      <w:pPr>
        <w:rPr>
          <w:rFonts w:ascii="Arial" w:hAnsi="Arial" w:cs="Arial"/>
          <w:sz w:val="24"/>
          <w:szCs w:val="24"/>
          <w:lang w:val="fr-CA"/>
        </w:rPr>
      </w:pPr>
      <w:r w:rsidRPr="00CB1763">
        <w:rPr>
          <w:rFonts w:ascii="Arial" w:hAnsi="Arial" w:cs="Arial"/>
          <w:sz w:val="24"/>
          <w:szCs w:val="24"/>
          <w:lang w:val="fr-CA"/>
        </w:rPr>
        <w:t>Au Canada, le sport c’est pour la vie.</w:t>
      </w:r>
      <w:r w:rsidR="00C11769" w:rsidRPr="00CB1763">
        <w:rPr>
          <w:rFonts w:ascii="Arial" w:hAnsi="Arial" w:cs="Arial"/>
          <w:sz w:val="24"/>
          <w:szCs w:val="24"/>
          <w:lang w:val="fr-CA"/>
        </w:rPr>
        <w:t xml:space="preserve"> </w:t>
      </w:r>
      <w:r w:rsidR="005A1771" w:rsidRPr="00CB1763">
        <w:rPr>
          <w:rFonts w:ascii="Arial" w:hAnsi="Arial" w:cs="Arial"/>
          <w:sz w:val="24"/>
          <w:szCs w:val="24"/>
          <w:lang w:val="fr-CA"/>
        </w:rPr>
        <w:t>(</w:t>
      </w:r>
      <w:proofErr w:type="gramStart"/>
      <w:r w:rsidRPr="00CB1763">
        <w:rPr>
          <w:rFonts w:ascii="Arial" w:hAnsi="Arial" w:cs="Arial"/>
          <w:sz w:val="24"/>
          <w:szCs w:val="24"/>
          <w:lang w:val="fr-CA"/>
        </w:rPr>
        <w:t>sans</w:t>
      </w:r>
      <w:proofErr w:type="gramEnd"/>
      <w:r w:rsidRPr="00CB1763">
        <w:rPr>
          <w:rFonts w:ascii="Arial" w:hAnsi="Arial" w:cs="Arial"/>
          <w:sz w:val="24"/>
          <w:szCs w:val="24"/>
          <w:lang w:val="fr-CA"/>
        </w:rPr>
        <w:t xml:space="preserve"> date</w:t>
      </w:r>
      <w:r w:rsidR="005A1771" w:rsidRPr="00CB1763">
        <w:rPr>
          <w:rFonts w:ascii="Arial" w:hAnsi="Arial" w:cs="Arial"/>
          <w:sz w:val="24"/>
          <w:szCs w:val="24"/>
          <w:lang w:val="fr-CA"/>
        </w:rPr>
        <w:t xml:space="preserve">) </w:t>
      </w:r>
      <w:r w:rsidR="006A1644" w:rsidRPr="00CB1763">
        <w:rPr>
          <w:rFonts w:ascii="Arial" w:hAnsi="Arial" w:cs="Arial"/>
          <w:sz w:val="24"/>
          <w:szCs w:val="24"/>
          <w:lang w:val="fr-CA"/>
        </w:rPr>
        <w:t>« </w:t>
      </w:r>
      <w:r w:rsidR="006A1644" w:rsidRPr="00CB1763">
        <w:rPr>
          <w:rFonts w:ascii="Arial" w:hAnsi="Arial" w:cs="Arial"/>
          <w:i/>
          <w:sz w:val="24"/>
          <w:szCs w:val="24"/>
          <w:lang w:val="fr-CA"/>
        </w:rPr>
        <w:t>Qu’est-ce que le savoir-faire physique </w:t>
      </w:r>
      <w:r w:rsidR="006A1644" w:rsidRPr="00CB1763">
        <w:rPr>
          <w:rFonts w:ascii="Arial" w:hAnsi="Arial" w:cs="Arial"/>
          <w:sz w:val="24"/>
          <w:szCs w:val="24"/>
          <w:lang w:val="fr-CA"/>
        </w:rPr>
        <w:t>»</w:t>
      </w:r>
      <w:r w:rsidR="00C11769" w:rsidRPr="00CB1763">
        <w:rPr>
          <w:rFonts w:ascii="Arial" w:hAnsi="Arial" w:cs="Arial"/>
          <w:sz w:val="24"/>
          <w:szCs w:val="24"/>
          <w:lang w:val="fr-CA"/>
        </w:rPr>
        <w:t xml:space="preserve"> </w:t>
      </w:r>
      <w:r w:rsidR="006A1644" w:rsidRPr="00CB1763">
        <w:rPr>
          <w:rFonts w:ascii="Arial" w:hAnsi="Arial" w:cs="Arial"/>
          <w:sz w:val="24"/>
          <w:szCs w:val="24"/>
          <w:lang w:val="fr-CA"/>
        </w:rPr>
        <w:t>Lien en date du 30 septembre 2013 :</w:t>
      </w:r>
      <w:r w:rsidR="00C11769" w:rsidRPr="00CB1763">
        <w:rPr>
          <w:rFonts w:ascii="Arial" w:hAnsi="Arial" w:cs="Arial"/>
          <w:sz w:val="24"/>
          <w:szCs w:val="24"/>
          <w:lang w:val="fr-CA"/>
        </w:rPr>
        <w:t xml:space="preserve"> </w:t>
      </w:r>
      <w:r w:rsidR="00487409">
        <w:fldChar w:fldCharType="begin"/>
      </w:r>
      <w:r w:rsidR="00487409" w:rsidRPr="00096F3E">
        <w:rPr>
          <w:lang w:val="fr-CA"/>
        </w:rPr>
        <w:instrText>HYPERLINK "http://canadiansportforlife.ca/what-physical-literacy-0"</w:instrText>
      </w:r>
      <w:r w:rsidR="00487409">
        <w:fldChar w:fldCharType="separate"/>
      </w:r>
      <w:r w:rsidR="00C11769" w:rsidRPr="00CB1763">
        <w:rPr>
          <w:rFonts w:ascii="Arial" w:hAnsi="Arial" w:cs="Arial"/>
          <w:color w:val="0000FF" w:themeColor="hyperlink"/>
          <w:sz w:val="24"/>
          <w:szCs w:val="24"/>
          <w:u w:val="single"/>
          <w:lang w:val="fr-CA"/>
        </w:rPr>
        <w:t>http://canadiansportforlife.ca/what-physical-literacy-0</w:t>
      </w:r>
      <w:r w:rsidR="00487409">
        <w:fldChar w:fldCharType="end"/>
      </w:r>
    </w:p>
    <w:p w:rsidR="00C11769" w:rsidRPr="00CB1763" w:rsidRDefault="00AB75BD" w:rsidP="00C11769">
      <w:pPr>
        <w:rPr>
          <w:rFonts w:ascii="Arial" w:hAnsi="Arial" w:cs="Arial"/>
          <w:bCs/>
          <w:sz w:val="24"/>
          <w:szCs w:val="24"/>
          <w:lang w:val="fr-CA"/>
        </w:rPr>
      </w:pPr>
      <w:r w:rsidRPr="00CB1763">
        <w:rPr>
          <w:rFonts w:ascii="Arial" w:hAnsi="Arial" w:cs="Arial"/>
          <w:sz w:val="24"/>
          <w:szCs w:val="24"/>
          <w:lang w:val="fr-CA"/>
        </w:rPr>
        <w:t>Au Canada, le sport c’est pour la vie. (</w:t>
      </w:r>
      <w:proofErr w:type="gramStart"/>
      <w:r w:rsidRPr="00CB1763">
        <w:rPr>
          <w:rFonts w:ascii="Arial" w:hAnsi="Arial" w:cs="Arial"/>
          <w:sz w:val="24"/>
          <w:szCs w:val="24"/>
          <w:lang w:val="fr-CA"/>
        </w:rPr>
        <w:t>sans</w:t>
      </w:r>
      <w:proofErr w:type="gramEnd"/>
      <w:r w:rsidRPr="00CB1763">
        <w:rPr>
          <w:rFonts w:ascii="Arial" w:hAnsi="Arial" w:cs="Arial"/>
          <w:sz w:val="24"/>
          <w:szCs w:val="24"/>
          <w:lang w:val="fr-CA"/>
        </w:rPr>
        <w:t xml:space="preserve"> date)</w:t>
      </w:r>
      <w:r w:rsidR="005A1771" w:rsidRPr="00CB1763">
        <w:rPr>
          <w:rFonts w:ascii="Arial" w:hAnsi="Arial" w:cs="Arial"/>
          <w:sz w:val="24"/>
          <w:szCs w:val="24"/>
          <w:lang w:val="fr-CA"/>
        </w:rPr>
        <w:t xml:space="preserve"> </w:t>
      </w:r>
      <w:r w:rsidRPr="00CB1763">
        <w:rPr>
          <w:rFonts w:ascii="Arial" w:hAnsi="Arial" w:cs="Arial"/>
          <w:sz w:val="24"/>
          <w:szCs w:val="24"/>
          <w:lang w:val="fr-CA"/>
        </w:rPr>
        <w:t>« En savoir plus sur les habiletés fondamentales</w:t>
      </w:r>
      <w:r w:rsidRPr="00CB1763">
        <w:rPr>
          <w:rFonts w:ascii="Arial" w:hAnsi="Arial" w:cs="Arial"/>
          <w:bCs/>
          <w:sz w:val="24"/>
          <w:szCs w:val="24"/>
          <w:lang w:val="fr-CA"/>
        </w:rPr>
        <w:t> »</w:t>
      </w:r>
      <w:r w:rsidR="00C11769" w:rsidRPr="00CB1763">
        <w:rPr>
          <w:rFonts w:ascii="Arial" w:hAnsi="Arial" w:cs="Arial"/>
          <w:bCs/>
          <w:sz w:val="24"/>
          <w:szCs w:val="24"/>
          <w:lang w:val="fr-CA"/>
        </w:rPr>
        <w:t xml:space="preserve"> </w:t>
      </w:r>
      <w:r w:rsidRPr="00CB1763">
        <w:rPr>
          <w:rFonts w:ascii="Arial" w:hAnsi="Arial" w:cs="Arial"/>
          <w:sz w:val="24"/>
          <w:szCs w:val="24"/>
          <w:lang w:val="fr-CA"/>
        </w:rPr>
        <w:t>Lien en date du 30 septembre 2013 </w:t>
      </w:r>
      <w:proofErr w:type="gramStart"/>
      <w:r w:rsidRPr="00CB1763">
        <w:rPr>
          <w:rFonts w:ascii="Arial" w:hAnsi="Arial" w:cs="Arial"/>
          <w:sz w:val="24"/>
          <w:szCs w:val="24"/>
          <w:lang w:val="fr-CA"/>
        </w:rPr>
        <w:t xml:space="preserve">: </w:t>
      </w:r>
      <w:r w:rsidR="00C11769" w:rsidRPr="00CB1763">
        <w:rPr>
          <w:rFonts w:ascii="Arial" w:hAnsi="Arial" w:cs="Arial"/>
          <w:bCs/>
          <w:sz w:val="24"/>
          <w:szCs w:val="24"/>
          <w:lang w:val="fr-CA"/>
        </w:rPr>
        <w:t xml:space="preserve"> </w:t>
      </w:r>
      <w:proofErr w:type="gramEnd"/>
      <w:r w:rsidR="00487409">
        <w:fldChar w:fldCharType="begin"/>
      </w:r>
      <w:r w:rsidR="00757E7B" w:rsidRPr="00CF42C6">
        <w:rPr>
          <w:lang w:val="fr-FR"/>
        </w:rPr>
        <w:instrText>HYPERLINK "http://canadiansportforlife.ca/physical-literacy/more-about-fundamental-skills"</w:instrText>
      </w:r>
      <w:r w:rsidR="00487409">
        <w:fldChar w:fldCharType="separate"/>
      </w:r>
      <w:r w:rsidR="00C11769" w:rsidRPr="00CB1763">
        <w:rPr>
          <w:rStyle w:val="Hyperlink"/>
          <w:rFonts w:ascii="Arial" w:hAnsi="Arial" w:cs="Arial"/>
          <w:sz w:val="24"/>
          <w:szCs w:val="24"/>
          <w:lang w:val="fr-CA"/>
        </w:rPr>
        <w:t>http://canadiansportforlife.ca/physical-literacy/more-about-fundamental-skills</w:t>
      </w:r>
      <w:r w:rsidR="00487409">
        <w:fldChar w:fldCharType="end"/>
      </w:r>
    </w:p>
    <w:p w:rsidR="00C11769" w:rsidRPr="00CB1763" w:rsidRDefault="00C11769" w:rsidP="00C11769">
      <w:pPr>
        <w:rPr>
          <w:rFonts w:ascii="Arial" w:hAnsi="Arial" w:cs="Arial"/>
          <w:sz w:val="24"/>
          <w:szCs w:val="24"/>
          <w:lang w:val="fr-CA"/>
        </w:rPr>
      </w:pPr>
      <w:r w:rsidRPr="00CF42C6">
        <w:rPr>
          <w:rFonts w:ascii="Arial" w:hAnsi="Arial" w:cs="Arial"/>
          <w:sz w:val="24"/>
          <w:szCs w:val="24"/>
          <w:lang w:val="en-CA"/>
        </w:rPr>
        <w:t xml:space="preserve">Ferrell, K.M. (2011). </w:t>
      </w:r>
      <w:r w:rsidRPr="00CF42C6">
        <w:rPr>
          <w:rFonts w:ascii="Arial" w:hAnsi="Arial" w:cs="Arial"/>
          <w:i/>
          <w:sz w:val="24"/>
          <w:szCs w:val="24"/>
          <w:lang w:val="en-CA"/>
        </w:rPr>
        <w:t xml:space="preserve">Reach Out and </w:t>
      </w:r>
      <w:proofErr w:type="gramStart"/>
      <w:r w:rsidRPr="00CF42C6">
        <w:rPr>
          <w:rFonts w:ascii="Arial" w:hAnsi="Arial" w:cs="Arial"/>
          <w:i/>
          <w:sz w:val="24"/>
          <w:szCs w:val="24"/>
          <w:lang w:val="en-CA"/>
        </w:rPr>
        <w:t>Teach</w:t>
      </w:r>
      <w:r w:rsidR="007B26A1" w:rsidRPr="00CF42C6">
        <w:rPr>
          <w:rFonts w:ascii="Arial" w:hAnsi="Arial" w:cs="Arial"/>
          <w:i/>
          <w:sz w:val="24"/>
          <w:szCs w:val="24"/>
          <w:lang w:val="en-CA"/>
        </w:rPr>
        <w:t> </w:t>
      </w:r>
      <w:r w:rsidRPr="00CF42C6">
        <w:rPr>
          <w:rFonts w:ascii="Arial" w:hAnsi="Arial" w:cs="Arial"/>
          <w:i/>
          <w:sz w:val="24"/>
          <w:szCs w:val="24"/>
          <w:lang w:val="en-CA"/>
        </w:rPr>
        <w:t>:</w:t>
      </w:r>
      <w:proofErr w:type="gramEnd"/>
      <w:r w:rsidRPr="00CF42C6">
        <w:rPr>
          <w:rFonts w:ascii="Arial" w:hAnsi="Arial" w:cs="Arial"/>
          <w:i/>
          <w:sz w:val="24"/>
          <w:szCs w:val="24"/>
          <w:lang w:val="en-CA"/>
        </w:rPr>
        <w:t xml:space="preserve"> Helping your Child Who is Visually Impaired Learn and Grow.</w:t>
      </w:r>
      <w:r w:rsidRPr="00CF42C6">
        <w:rPr>
          <w:rFonts w:ascii="Arial" w:hAnsi="Arial" w:cs="Arial"/>
          <w:sz w:val="24"/>
          <w:szCs w:val="24"/>
          <w:lang w:val="en-CA"/>
        </w:rPr>
        <w:t xml:space="preserve"> </w:t>
      </w:r>
      <w:r w:rsidR="007B26A1" w:rsidRPr="00CB1763">
        <w:rPr>
          <w:rFonts w:ascii="Arial" w:hAnsi="Arial" w:cs="Arial"/>
          <w:sz w:val="24"/>
          <w:szCs w:val="24"/>
          <w:lang w:val="fr-CA"/>
        </w:rPr>
        <w:t>New York, NY : </w:t>
      </w:r>
      <w:r w:rsidRPr="00CB1763">
        <w:rPr>
          <w:rFonts w:ascii="Arial" w:hAnsi="Arial" w:cs="Arial"/>
          <w:sz w:val="24"/>
          <w:szCs w:val="24"/>
          <w:lang w:val="fr-CA"/>
        </w:rPr>
        <w:t>AFB Press</w:t>
      </w:r>
      <w:r w:rsidR="00FE04CF" w:rsidRPr="00CB1763">
        <w:rPr>
          <w:rFonts w:ascii="Arial" w:hAnsi="Arial" w:cs="Arial"/>
          <w:sz w:val="24"/>
          <w:szCs w:val="24"/>
          <w:lang w:val="fr-CA"/>
        </w:rPr>
        <w:t>.</w:t>
      </w:r>
    </w:p>
    <w:p w:rsidR="00C11769" w:rsidRPr="00CB1763" w:rsidRDefault="00C11769" w:rsidP="00C11769">
      <w:pPr>
        <w:rPr>
          <w:rFonts w:ascii="Arial" w:hAnsi="Arial" w:cs="Arial"/>
          <w:sz w:val="24"/>
          <w:szCs w:val="24"/>
          <w:lang w:val="fr-CA"/>
        </w:rPr>
      </w:pPr>
      <w:r w:rsidRPr="00CB1763">
        <w:rPr>
          <w:rFonts w:ascii="Arial" w:hAnsi="Arial" w:cs="Arial"/>
          <w:sz w:val="24"/>
          <w:szCs w:val="24"/>
          <w:lang w:val="fr-CA"/>
        </w:rPr>
        <w:t xml:space="preserve">Higgs, C., Bluechardt, M., Balyi, I., Way, R., Jurbala, P., Legg, D., </w:t>
      </w:r>
      <w:r w:rsidR="007B26A1" w:rsidRPr="00CB1763">
        <w:rPr>
          <w:rFonts w:ascii="Arial" w:hAnsi="Arial" w:cs="Arial"/>
          <w:sz w:val="24"/>
          <w:szCs w:val="24"/>
          <w:lang w:val="fr-CA"/>
        </w:rPr>
        <w:t>(sans date</w:t>
      </w:r>
      <w:r w:rsidR="005A1771" w:rsidRPr="00CB1763">
        <w:rPr>
          <w:rFonts w:ascii="Arial" w:hAnsi="Arial" w:cs="Arial"/>
          <w:sz w:val="24"/>
          <w:szCs w:val="24"/>
          <w:lang w:val="fr-CA"/>
        </w:rPr>
        <w:t xml:space="preserve">) </w:t>
      </w:r>
      <w:r w:rsidR="007B26A1" w:rsidRPr="00CB1763">
        <w:rPr>
          <w:rFonts w:ascii="Arial" w:hAnsi="Arial" w:cs="Arial"/>
          <w:i/>
          <w:sz w:val="24"/>
          <w:szCs w:val="24"/>
          <w:lang w:val="fr-CA"/>
        </w:rPr>
        <w:t>Devenir champion n’est pas une question de chance </w:t>
      </w:r>
      <w:r w:rsidRPr="00CB1763">
        <w:rPr>
          <w:rFonts w:ascii="Arial" w:hAnsi="Arial" w:cs="Arial"/>
          <w:i/>
          <w:sz w:val="24"/>
          <w:szCs w:val="24"/>
          <w:lang w:val="fr-CA"/>
        </w:rPr>
        <w:t xml:space="preserve">: </w:t>
      </w:r>
      <w:r w:rsidR="00824BBC" w:rsidRPr="00CB1763">
        <w:rPr>
          <w:rFonts w:ascii="Arial" w:hAnsi="Arial" w:cs="Arial"/>
          <w:i/>
          <w:sz w:val="24"/>
          <w:szCs w:val="24"/>
          <w:lang w:val="fr-CA"/>
        </w:rPr>
        <w:t>m</w:t>
      </w:r>
      <w:r w:rsidR="007B26A1" w:rsidRPr="00CB1763">
        <w:rPr>
          <w:rFonts w:ascii="Arial" w:hAnsi="Arial" w:cs="Arial"/>
          <w:i/>
          <w:sz w:val="24"/>
          <w:szCs w:val="24"/>
          <w:lang w:val="fr-CA"/>
        </w:rPr>
        <w:t>odèle de développement à long terme du participant/athlète pour les personnes ayant un handicap</w:t>
      </w:r>
      <w:r w:rsidRPr="00CB1763">
        <w:rPr>
          <w:rFonts w:ascii="Arial" w:hAnsi="Arial" w:cs="Arial"/>
          <w:i/>
          <w:sz w:val="24"/>
          <w:szCs w:val="24"/>
          <w:lang w:val="fr-CA"/>
        </w:rPr>
        <w:t>, 2</w:t>
      </w:r>
      <w:r w:rsidR="007B26A1" w:rsidRPr="00CB1763">
        <w:rPr>
          <w:rFonts w:ascii="Arial" w:hAnsi="Arial" w:cs="Arial"/>
          <w:i/>
          <w:sz w:val="24"/>
          <w:szCs w:val="24"/>
          <w:vertAlign w:val="superscript"/>
          <w:lang w:val="fr-CA"/>
        </w:rPr>
        <w:t>e</w:t>
      </w:r>
      <w:r w:rsidR="007B26A1" w:rsidRPr="00CB1763">
        <w:rPr>
          <w:rFonts w:ascii="Arial" w:hAnsi="Arial" w:cs="Arial"/>
          <w:i/>
          <w:sz w:val="24"/>
          <w:szCs w:val="24"/>
          <w:lang w:val="fr-CA"/>
        </w:rPr>
        <w:t xml:space="preserve"> é</w:t>
      </w:r>
      <w:r w:rsidRPr="00CB1763">
        <w:rPr>
          <w:rFonts w:ascii="Arial" w:hAnsi="Arial" w:cs="Arial"/>
          <w:i/>
          <w:sz w:val="24"/>
          <w:szCs w:val="24"/>
          <w:lang w:val="fr-CA"/>
        </w:rPr>
        <w:t xml:space="preserve">dition, </w:t>
      </w:r>
      <w:r w:rsidR="007B26A1" w:rsidRPr="00CB1763">
        <w:rPr>
          <w:rFonts w:ascii="Arial" w:hAnsi="Arial" w:cs="Arial"/>
          <w:sz w:val="24"/>
          <w:szCs w:val="24"/>
          <w:lang w:val="fr-CA"/>
        </w:rPr>
        <w:t xml:space="preserve">publié par </w:t>
      </w:r>
      <w:r w:rsidR="001E4AEF" w:rsidRPr="00CB1763">
        <w:rPr>
          <w:rFonts w:ascii="Arial" w:hAnsi="Arial" w:cs="Arial"/>
          <w:sz w:val="24"/>
          <w:szCs w:val="24"/>
          <w:lang w:val="fr-CA"/>
        </w:rPr>
        <w:t>les Centres canadiens multisports</w:t>
      </w:r>
      <w:r w:rsidRPr="00CB1763">
        <w:rPr>
          <w:rFonts w:ascii="Arial" w:hAnsi="Arial" w:cs="Arial"/>
          <w:sz w:val="24"/>
          <w:szCs w:val="24"/>
          <w:lang w:val="fr-CA"/>
        </w:rPr>
        <w:t xml:space="preserve">. </w:t>
      </w:r>
      <w:r w:rsidR="001E4AEF" w:rsidRPr="00CB1763">
        <w:rPr>
          <w:rFonts w:ascii="Arial" w:hAnsi="Arial" w:cs="Arial"/>
          <w:sz w:val="24"/>
          <w:szCs w:val="24"/>
          <w:lang w:val="fr-CA"/>
        </w:rPr>
        <w:t>Disponible au</w:t>
      </w:r>
      <w:r w:rsidRPr="00CB1763">
        <w:rPr>
          <w:rFonts w:ascii="Arial" w:hAnsi="Arial" w:cs="Arial"/>
          <w:sz w:val="24"/>
          <w:szCs w:val="24"/>
          <w:lang w:val="fr-CA"/>
        </w:rPr>
        <w:t xml:space="preserve"> </w:t>
      </w:r>
      <w:hyperlink r:id="rId10" w:anchor="/2/" w:history="1">
        <w:r w:rsidRPr="00CB1763">
          <w:rPr>
            <w:rStyle w:val="Hyperlink"/>
            <w:rFonts w:ascii="Arial" w:hAnsi="Arial" w:cs="Arial"/>
            <w:sz w:val="24"/>
            <w:szCs w:val="24"/>
            <w:lang w:val="fr-CA"/>
          </w:rPr>
          <w:t>http://canadiansportforlife.ca/sites/default/files/flipbooks/noaccidental2/NoAccidentalChampions.html#/2/</w:t>
        </w:r>
      </w:hyperlink>
    </w:p>
    <w:p w:rsidR="00C11769" w:rsidRPr="00CF42C6" w:rsidRDefault="00C11769" w:rsidP="00C11769">
      <w:pPr>
        <w:rPr>
          <w:rFonts w:ascii="Arial" w:hAnsi="Arial" w:cs="Arial"/>
          <w:sz w:val="24"/>
          <w:szCs w:val="24"/>
          <w:lang w:val="en-CA"/>
        </w:rPr>
      </w:pPr>
      <w:r w:rsidRPr="00CF42C6">
        <w:rPr>
          <w:rFonts w:ascii="Arial" w:hAnsi="Arial" w:cs="Arial"/>
          <w:sz w:val="24"/>
          <w:szCs w:val="24"/>
          <w:lang w:val="en-CA"/>
        </w:rPr>
        <w:t xml:space="preserve">Lieberman, L.J, </w:t>
      </w:r>
      <w:proofErr w:type="spellStart"/>
      <w:r w:rsidRPr="00CF42C6">
        <w:rPr>
          <w:rFonts w:ascii="Arial" w:hAnsi="Arial" w:cs="Arial"/>
          <w:sz w:val="24"/>
          <w:szCs w:val="24"/>
          <w:lang w:val="en-CA"/>
        </w:rPr>
        <w:t>Ponchil</w:t>
      </w:r>
      <w:r w:rsidR="00824BBC" w:rsidRPr="00CF42C6">
        <w:rPr>
          <w:rFonts w:ascii="Arial" w:hAnsi="Arial" w:cs="Arial"/>
          <w:sz w:val="24"/>
          <w:szCs w:val="24"/>
          <w:lang w:val="en-CA"/>
        </w:rPr>
        <w:t>lia</w:t>
      </w:r>
      <w:proofErr w:type="spellEnd"/>
      <w:r w:rsidR="00824BBC" w:rsidRPr="00CF42C6">
        <w:rPr>
          <w:rFonts w:ascii="Arial" w:hAnsi="Arial" w:cs="Arial"/>
          <w:sz w:val="24"/>
          <w:szCs w:val="24"/>
          <w:lang w:val="en-CA"/>
        </w:rPr>
        <w:t xml:space="preserve"> P.E, et</w:t>
      </w:r>
      <w:r w:rsidRPr="00CF42C6">
        <w:rPr>
          <w:rFonts w:ascii="Arial" w:hAnsi="Arial" w:cs="Arial"/>
          <w:sz w:val="24"/>
          <w:szCs w:val="24"/>
          <w:lang w:val="en-CA"/>
        </w:rPr>
        <w:t xml:space="preserve"> </w:t>
      </w:r>
      <w:proofErr w:type="spellStart"/>
      <w:r w:rsidRPr="00CF42C6">
        <w:rPr>
          <w:rFonts w:ascii="Arial" w:hAnsi="Arial" w:cs="Arial"/>
          <w:sz w:val="24"/>
          <w:szCs w:val="24"/>
          <w:lang w:val="en-CA"/>
        </w:rPr>
        <w:t>Ponchillia</w:t>
      </w:r>
      <w:proofErr w:type="spellEnd"/>
      <w:r w:rsidRPr="00CF42C6">
        <w:rPr>
          <w:rFonts w:ascii="Arial" w:hAnsi="Arial" w:cs="Arial"/>
          <w:sz w:val="24"/>
          <w:szCs w:val="24"/>
          <w:lang w:val="en-CA"/>
        </w:rPr>
        <w:t xml:space="preserve">, S.V (2013) </w:t>
      </w:r>
      <w:r w:rsidRPr="00CF42C6">
        <w:rPr>
          <w:rFonts w:ascii="Arial" w:hAnsi="Arial" w:cs="Arial"/>
          <w:i/>
          <w:sz w:val="24"/>
          <w:szCs w:val="24"/>
          <w:lang w:val="en-CA"/>
        </w:rPr>
        <w:t xml:space="preserve">Physical Education and Sports for People with Visual Impairments and </w:t>
      </w:r>
      <w:proofErr w:type="spellStart"/>
      <w:proofErr w:type="gramStart"/>
      <w:r w:rsidRPr="00CF42C6">
        <w:rPr>
          <w:rFonts w:ascii="Arial" w:hAnsi="Arial" w:cs="Arial"/>
          <w:i/>
          <w:sz w:val="24"/>
          <w:szCs w:val="24"/>
          <w:lang w:val="en-CA"/>
        </w:rPr>
        <w:t>Deafblindness</w:t>
      </w:r>
      <w:proofErr w:type="spellEnd"/>
      <w:r w:rsidR="00824BBC" w:rsidRPr="00CF42C6">
        <w:rPr>
          <w:rFonts w:ascii="Arial" w:hAnsi="Arial" w:cs="Arial"/>
          <w:i/>
          <w:sz w:val="24"/>
          <w:szCs w:val="24"/>
          <w:lang w:val="en-CA"/>
        </w:rPr>
        <w:t> </w:t>
      </w:r>
      <w:r w:rsidRPr="00CF42C6">
        <w:rPr>
          <w:rFonts w:ascii="Arial" w:hAnsi="Arial" w:cs="Arial"/>
          <w:i/>
          <w:sz w:val="24"/>
          <w:szCs w:val="24"/>
          <w:lang w:val="en-CA"/>
        </w:rPr>
        <w:t>:</w:t>
      </w:r>
      <w:proofErr w:type="gramEnd"/>
      <w:r w:rsidRPr="00CF42C6">
        <w:rPr>
          <w:rFonts w:ascii="Arial" w:hAnsi="Arial" w:cs="Arial"/>
          <w:i/>
          <w:sz w:val="24"/>
          <w:szCs w:val="24"/>
          <w:lang w:val="en-CA"/>
        </w:rPr>
        <w:t xml:space="preserve"> Foundations of Instruction,</w:t>
      </w:r>
      <w:r w:rsidRPr="00CF42C6">
        <w:rPr>
          <w:rFonts w:ascii="Arial" w:hAnsi="Arial" w:cs="Arial"/>
          <w:sz w:val="24"/>
          <w:szCs w:val="24"/>
          <w:lang w:val="en-CA"/>
        </w:rPr>
        <w:t xml:space="preserve"> New York, NY</w:t>
      </w:r>
      <w:r w:rsidR="00824BBC" w:rsidRPr="00CF42C6">
        <w:rPr>
          <w:rFonts w:ascii="Arial" w:hAnsi="Arial" w:cs="Arial"/>
          <w:sz w:val="24"/>
          <w:szCs w:val="24"/>
          <w:lang w:val="en-CA"/>
        </w:rPr>
        <w:t> </w:t>
      </w:r>
      <w:r w:rsidRPr="00CF42C6">
        <w:rPr>
          <w:rFonts w:ascii="Arial" w:hAnsi="Arial" w:cs="Arial"/>
          <w:sz w:val="24"/>
          <w:szCs w:val="24"/>
          <w:lang w:val="en-CA"/>
        </w:rPr>
        <w:t>: AFB Press</w:t>
      </w:r>
      <w:r w:rsidR="0073474B" w:rsidRPr="00CF42C6">
        <w:rPr>
          <w:rFonts w:ascii="Arial" w:hAnsi="Arial" w:cs="Arial"/>
          <w:sz w:val="24"/>
          <w:szCs w:val="24"/>
          <w:lang w:val="en-CA"/>
        </w:rPr>
        <w:t>.</w:t>
      </w:r>
    </w:p>
    <w:p w:rsidR="00C11769" w:rsidRPr="00824BBC" w:rsidRDefault="00C11769" w:rsidP="00C11769">
      <w:pPr>
        <w:rPr>
          <w:lang w:val="en-CA"/>
        </w:rPr>
      </w:pPr>
    </w:p>
    <w:p w:rsidR="00373D29" w:rsidRPr="00373D29" w:rsidRDefault="00373D29" w:rsidP="00373D29">
      <w:pPr>
        <w:rPr>
          <w:rFonts w:ascii="Arial" w:eastAsia="Times New Roman" w:hAnsi="Arial" w:cs="Arial"/>
          <w:sz w:val="24"/>
          <w:szCs w:val="24"/>
        </w:rPr>
      </w:pPr>
    </w:p>
    <w:sectPr w:rsidR="00373D29" w:rsidRPr="00373D29" w:rsidSect="008A50D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0C74" w:rsidRDefault="00350C74" w:rsidP="00D6708E">
      <w:pPr>
        <w:spacing w:after="0" w:line="240" w:lineRule="auto"/>
      </w:pPr>
      <w:r>
        <w:separator/>
      </w:r>
    </w:p>
  </w:endnote>
  <w:endnote w:type="continuationSeparator" w:id="0">
    <w:p w:rsidR="00350C74" w:rsidRDefault="00350C74" w:rsidP="00D670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7242707"/>
      <w:docPartObj>
        <w:docPartGallery w:val="Page Numbers (Bottom of Page)"/>
        <w:docPartUnique/>
      </w:docPartObj>
    </w:sdtPr>
    <w:sdtEndPr>
      <w:rPr>
        <w:noProof/>
      </w:rPr>
    </w:sdtEndPr>
    <w:sdtContent>
      <w:p w:rsidR="000F3239" w:rsidRDefault="00487409">
        <w:pPr>
          <w:pStyle w:val="Footer"/>
          <w:jc w:val="right"/>
        </w:pPr>
        <w:fldSimple w:instr=" PAGE   \* MERGEFORMAT ">
          <w:r w:rsidR="00096F3E">
            <w:rPr>
              <w:noProof/>
            </w:rPr>
            <w:t>1</w:t>
          </w:r>
        </w:fldSimple>
      </w:p>
    </w:sdtContent>
  </w:sdt>
  <w:p w:rsidR="000F3239" w:rsidRDefault="000F32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0C74" w:rsidRDefault="00350C74" w:rsidP="00D6708E">
      <w:pPr>
        <w:spacing w:after="0" w:line="240" w:lineRule="auto"/>
      </w:pPr>
      <w:r>
        <w:separator/>
      </w:r>
    </w:p>
  </w:footnote>
  <w:footnote w:type="continuationSeparator" w:id="0">
    <w:p w:rsidR="00350C74" w:rsidRDefault="00350C74" w:rsidP="00D6708E">
      <w:pPr>
        <w:spacing w:after="0" w:line="240" w:lineRule="auto"/>
      </w:pPr>
      <w:r>
        <w:continuationSeparator/>
      </w:r>
    </w:p>
  </w:footnote>
  <w:footnote w:id="1">
    <w:p w:rsidR="000F3239" w:rsidRPr="00815021" w:rsidRDefault="000F3239" w:rsidP="00C9159B">
      <w:pPr>
        <w:rPr>
          <w:rFonts w:ascii="Arial" w:hAnsi="Arial" w:cs="Arial"/>
          <w:sz w:val="20"/>
          <w:szCs w:val="20"/>
          <w:lang w:val="fr-CA"/>
        </w:rPr>
      </w:pPr>
      <w:r>
        <w:rPr>
          <w:rStyle w:val="FootnoteReference"/>
        </w:rPr>
        <w:footnoteRef/>
      </w:r>
      <w:r w:rsidRPr="00815021">
        <w:rPr>
          <w:lang w:val="fr-CA"/>
        </w:rPr>
        <w:t xml:space="preserve"> </w:t>
      </w:r>
      <w:r w:rsidRPr="00815021">
        <w:rPr>
          <w:rFonts w:ascii="Arial" w:hAnsi="Arial" w:cs="Arial"/>
          <w:i/>
          <w:sz w:val="20"/>
          <w:szCs w:val="20"/>
          <w:lang w:val="fr-CA"/>
        </w:rPr>
        <w:t xml:space="preserve"> Au Canada, le sport c’est pour la vie</w:t>
      </w:r>
      <w:r w:rsidRPr="00815021">
        <w:rPr>
          <w:rFonts w:ascii="Arial" w:hAnsi="Arial" w:cs="Arial"/>
          <w:sz w:val="20"/>
          <w:szCs w:val="20"/>
          <w:lang w:val="fr-CA"/>
        </w:rPr>
        <w:t xml:space="preserve">. </w:t>
      </w:r>
      <w:r>
        <w:rPr>
          <w:rFonts w:ascii="Arial" w:hAnsi="Arial" w:cs="Arial"/>
          <w:sz w:val="20"/>
          <w:szCs w:val="20"/>
          <w:lang w:val="fr-CA"/>
        </w:rPr>
        <w:t>Lien en date du 30 septembre :</w:t>
      </w:r>
      <w:r w:rsidRPr="00815021">
        <w:rPr>
          <w:rFonts w:ascii="Arial" w:hAnsi="Arial" w:cs="Arial"/>
          <w:sz w:val="20"/>
          <w:szCs w:val="20"/>
          <w:lang w:val="fr-CA"/>
        </w:rPr>
        <w:t xml:space="preserve"> </w:t>
      </w:r>
      <w:hyperlink r:id="rId1" w:history="1">
        <w:r w:rsidRPr="00420C01">
          <w:rPr>
            <w:rStyle w:val="Hyperlink"/>
            <w:lang w:val="fr-CA"/>
          </w:rPr>
          <w:t>http://canadiansportforlife.ca/fr/learn-about-canadian-sport-life/cs4l-organization</w:t>
        </w:r>
      </w:hyperlink>
    </w:p>
    <w:p w:rsidR="000F3239" w:rsidRPr="00815021" w:rsidRDefault="000F3239">
      <w:pPr>
        <w:pStyle w:val="FootnoteText"/>
        <w:rPr>
          <w:lang w:val="fr-CA"/>
        </w:rPr>
      </w:pPr>
    </w:p>
  </w:footnote>
  <w:footnote w:id="2">
    <w:p w:rsidR="000F3239" w:rsidRPr="00ED342D" w:rsidRDefault="000F3239" w:rsidP="009A17E2">
      <w:pPr>
        <w:spacing w:after="0"/>
        <w:rPr>
          <w:rFonts w:ascii="Arial" w:hAnsi="Arial" w:cs="Arial"/>
          <w:sz w:val="20"/>
          <w:szCs w:val="20"/>
          <w:lang w:val="fr-CA"/>
        </w:rPr>
      </w:pPr>
      <w:r w:rsidRPr="00815021">
        <w:rPr>
          <w:rStyle w:val="FootnoteReference"/>
          <w:lang w:val="fr-CA"/>
        </w:rPr>
        <w:t>2</w:t>
      </w:r>
      <w:r w:rsidRPr="00815021">
        <w:rPr>
          <w:lang w:val="fr-CA"/>
        </w:rPr>
        <w:t xml:space="preserve"> </w:t>
      </w:r>
      <w:r w:rsidRPr="00ED342D">
        <w:rPr>
          <w:rFonts w:ascii="Arial" w:hAnsi="Arial" w:cs="Arial"/>
          <w:sz w:val="20"/>
          <w:szCs w:val="20"/>
          <w:lang w:val="fr-CA"/>
        </w:rPr>
        <w:t>Au Canada, le sport c’est pour la vie « </w:t>
      </w:r>
      <w:r w:rsidRPr="00ED342D">
        <w:rPr>
          <w:rFonts w:ascii="Arial" w:hAnsi="Arial" w:cs="Arial"/>
          <w:i/>
          <w:sz w:val="20"/>
          <w:szCs w:val="20"/>
          <w:lang w:val="fr-CA"/>
        </w:rPr>
        <w:t>Qu’est-ce que le savoir-faire physique »</w:t>
      </w:r>
      <w:r w:rsidRPr="00ED342D">
        <w:rPr>
          <w:rFonts w:ascii="Arial" w:hAnsi="Arial" w:cs="Arial"/>
          <w:sz w:val="20"/>
          <w:szCs w:val="20"/>
          <w:lang w:val="fr-CA"/>
        </w:rPr>
        <w:t xml:space="preserve"> Lien en date du 30 septembre 2013 : </w:t>
      </w:r>
      <w:hyperlink r:id="rId2" w:history="1">
        <w:r w:rsidRPr="00ED342D">
          <w:rPr>
            <w:rFonts w:ascii="Arial" w:hAnsi="Arial" w:cs="Arial"/>
            <w:color w:val="0000FF" w:themeColor="hyperlink"/>
            <w:sz w:val="20"/>
            <w:szCs w:val="20"/>
            <w:u w:val="single"/>
            <w:lang w:val="fr-CA"/>
          </w:rPr>
          <w:t>http://canadiansportforlife.ca/what-physical-literacy-0</w:t>
        </w:r>
      </w:hyperlink>
    </w:p>
    <w:p w:rsidR="000F3239" w:rsidRPr="00ED342D" w:rsidRDefault="000F3239" w:rsidP="009A17E2">
      <w:pPr>
        <w:spacing w:after="0"/>
        <w:rPr>
          <w:rFonts w:ascii="Arial" w:hAnsi="Arial" w:cs="Arial"/>
          <w:lang w:val="fr-CA"/>
        </w:rPr>
      </w:pPr>
    </w:p>
  </w:footnote>
  <w:footnote w:id="3">
    <w:p w:rsidR="000F3239" w:rsidRPr="00ED342D" w:rsidRDefault="000F3239" w:rsidP="009A17E2">
      <w:pPr>
        <w:spacing w:after="120"/>
        <w:rPr>
          <w:rFonts w:ascii="Arial" w:hAnsi="Arial" w:cs="Arial"/>
          <w:bCs/>
          <w:lang w:val="fr-CA"/>
        </w:rPr>
      </w:pPr>
      <w:r w:rsidRPr="00ED342D">
        <w:rPr>
          <w:rStyle w:val="FootnoteReference"/>
          <w:lang w:val="fr-CA"/>
        </w:rPr>
        <w:footnoteRef/>
      </w:r>
      <w:r w:rsidRPr="00ED342D">
        <w:rPr>
          <w:lang w:val="fr-CA"/>
        </w:rPr>
        <w:t xml:space="preserve"> </w:t>
      </w:r>
      <w:r w:rsidRPr="00ED342D">
        <w:rPr>
          <w:rFonts w:ascii="Arial" w:hAnsi="Arial" w:cs="Arial"/>
          <w:sz w:val="20"/>
          <w:szCs w:val="20"/>
          <w:lang w:val="fr-CA"/>
        </w:rPr>
        <w:t>Au Canada, le sport c’est pour la vie « En savoir plus sur les habiletés fondamentales</w:t>
      </w:r>
      <w:r w:rsidRPr="00ED342D">
        <w:rPr>
          <w:rFonts w:ascii="Arial" w:hAnsi="Arial" w:cs="Arial"/>
          <w:bCs/>
          <w:sz w:val="20"/>
          <w:szCs w:val="20"/>
          <w:lang w:val="fr-CA"/>
        </w:rPr>
        <w:t xml:space="preserve"> » Lien en date du 30 septembre 2013 : </w:t>
      </w:r>
      <w:hyperlink r:id="rId3" w:history="1">
        <w:r w:rsidRPr="00ED342D">
          <w:rPr>
            <w:rStyle w:val="Hyperlink"/>
            <w:rFonts w:ascii="Arial" w:hAnsi="Arial" w:cs="Arial"/>
            <w:sz w:val="20"/>
            <w:szCs w:val="20"/>
            <w:lang w:val="fr-CA"/>
          </w:rPr>
          <w:t>http://canadiansportforlife.ca/physical-literacy/more-about-fundamental-skills</w:t>
        </w:r>
      </w:hyperlink>
    </w:p>
  </w:footnote>
  <w:footnote w:id="4">
    <w:p w:rsidR="000F3239" w:rsidRPr="0031748D" w:rsidRDefault="000F3239" w:rsidP="009A17E2">
      <w:pPr>
        <w:spacing w:after="120"/>
        <w:rPr>
          <w:rFonts w:ascii="Arial" w:hAnsi="Arial" w:cs="Arial"/>
          <w:lang w:val="fr-CA"/>
        </w:rPr>
      </w:pPr>
      <w:r w:rsidRPr="00ED342D">
        <w:rPr>
          <w:rStyle w:val="FootnoteReference"/>
          <w:lang w:val="fr-CA"/>
        </w:rPr>
        <w:footnoteRef/>
      </w:r>
      <w:r w:rsidRPr="00ED342D">
        <w:rPr>
          <w:lang w:val="fr-CA"/>
        </w:rPr>
        <w:t xml:space="preserve"> </w:t>
      </w:r>
      <w:r w:rsidRPr="00ED342D">
        <w:rPr>
          <w:rFonts w:ascii="Arial" w:hAnsi="Arial" w:cs="Arial"/>
          <w:sz w:val="20"/>
          <w:szCs w:val="20"/>
          <w:lang w:val="fr-CA"/>
        </w:rPr>
        <w:t xml:space="preserve">Higgs, C., Bluechardt, M., Balyi, I., Way, R., Jurbala, P., Legg, D., </w:t>
      </w:r>
      <w:r w:rsidRPr="00ED342D">
        <w:rPr>
          <w:rFonts w:ascii="Arial" w:hAnsi="Arial" w:cs="Arial"/>
          <w:i/>
          <w:sz w:val="20"/>
          <w:szCs w:val="20"/>
          <w:lang w:val="fr-CA"/>
        </w:rPr>
        <w:t>Devenir champion n’est pas une question de chance : modèle de développement à long terme du participant/athlète pour les personnes ayant un handicap, 2</w:t>
      </w:r>
      <w:r w:rsidRPr="00ED342D">
        <w:rPr>
          <w:rFonts w:ascii="Arial" w:hAnsi="Arial" w:cs="Arial"/>
          <w:i/>
          <w:sz w:val="20"/>
          <w:szCs w:val="20"/>
          <w:vertAlign w:val="superscript"/>
          <w:lang w:val="fr-CA"/>
        </w:rPr>
        <w:t>e</w:t>
      </w:r>
      <w:r w:rsidRPr="00ED342D">
        <w:rPr>
          <w:rFonts w:ascii="Arial" w:hAnsi="Arial" w:cs="Arial"/>
          <w:i/>
          <w:sz w:val="20"/>
          <w:szCs w:val="20"/>
          <w:lang w:val="fr-CA"/>
        </w:rPr>
        <w:t xml:space="preserve"> édition, </w:t>
      </w:r>
      <w:r w:rsidRPr="00ED342D">
        <w:rPr>
          <w:rFonts w:ascii="Arial" w:hAnsi="Arial" w:cs="Arial"/>
          <w:sz w:val="20"/>
          <w:szCs w:val="20"/>
          <w:lang w:val="fr-CA"/>
        </w:rPr>
        <w:t>publié par les Centres canadiens multisports. Disponible au</w:t>
      </w:r>
      <w:r w:rsidRPr="0031748D">
        <w:rPr>
          <w:rFonts w:ascii="Arial" w:hAnsi="Arial" w:cs="Arial"/>
          <w:sz w:val="20"/>
          <w:szCs w:val="20"/>
          <w:lang w:val="fr-CA"/>
        </w:rPr>
        <w:t xml:space="preserve"> </w:t>
      </w:r>
      <w:hyperlink r:id="rId4" w:anchor="/2/" w:history="1">
        <w:r w:rsidRPr="0031748D">
          <w:rPr>
            <w:rStyle w:val="Hyperlink"/>
            <w:rFonts w:ascii="Arial" w:hAnsi="Arial" w:cs="Arial"/>
            <w:sz w:val="20"/>
            <w:szCs w:val="20"/>
            <w:lang w:val="fr-CA"/>
          </w:rPr>
          <w:t>http://canadiansportforlife.ca/sites/default/files/flipbooks/noaccidental2/NoAccidentalChampions.html#/2/</w:t>
        </w:r>
      </w:hyperlink>
      <w:r>
        <w:rPr>
          <w:rFonts w:ascii="Arial" w:hAnsi="Arial" w:cs="Arial"/>
          <w:sz w:val="20"/>
          <w:szCs w:val="20"/>
          <w:lang w:val="fr-CA"/>
        </w:rPr>
        <w:t>, p</w:t>
      </w:r>
      <w:r w:rsidRPr="0031748D">
        <w:rPr>
          <w:rFonts w:ascii="Arial" w:hAnsi="Arial" w:cs="Arial"/>
          <w:sz w:val="20"/>
          <w:szCs w:val="20"/>
          <w:lang w:val="fr-CA"/>
        </w:rPr>
        <w:t>age 9</w:t>
      </w:r>
      <w:r>
        <w:rPr>
          <w:rFonts w:ascii="Arial" w:hAnsi="Arial" w:cs="Arial"/>
          <w:sz w:val="20"/>
          <w:szCs w:val="20"/>
          <w:lang w:val="fr-CA"/>
        </w:rPr>
        <w:t>.</w:t>
      </w:r>
    </w:p>
  </w:footnote>
  <w:footnote w:id="5">
    <w:p w:rsidR="000F3239" w:rsidRPr="00312203" w:rsidRDefault="000F3239" w:rsidP="000021BE">
      <w:pPr>
        <w:rPr>
          <w:rFonts w:ascii="Arial" w:hAnsi="Arial" w:cs="Arial"/>
          <w:sz w:val="20"/>
          <w:szCs w:val="20"/>
          <w:lang w:val="en-CA"/>
        </w:rPr>
      </w:pPr>
      <w:r w:rsidRPr="001262DF">
        <w:rPr>
          <w:rStyle w:val="FootnoteReference"/>
          <w:lang w:val="fr-CA"/>
        </w:rPr>
        <w:footnoteRef/>
      </w:r>
      <w:r w:rsidRPr="00312203">
        <w:rPr>
          <w:lang w:val="en-CA"/>
        </w:rPr>
        <w:t xml:space="preserve"> </w:t>
      </w:r>
      <w:r w:rsidRPr="00312203">
        <w:rPr>
          <w:rFonts w:ascii="Arial" w:hAnsi="Arial" w:cs="Arial"/>
          <w:sz w:val="20"/>
          <w:szCs w:val="20"/>
          <w:lang w:val="en-CA"/>
        </w:rPr>
        <w:t xml:space="preserve">Ferrell, K.M. (2011). </w:t>
      </w:r>
      <w:r w:rsidRPr="00312203">
        <w:rPr>
          <w:rFonts w:ascii="Arial" w:hAnsi="Arial" w:cs="Arial"/>
          <w:i/>
          <w:sz w:val="20"/>
          <w:szCs w:val="20"/>
          <w:lang w:val="en-CA"/>
        </w:rPr>
        <w:t>Reach Out and Teach : Helping your Child Who is Visually Impaired Learn and Grow.</w:t>
      </w:r>
      <w:r w:rsidRPr="00312203">
        <w:rPr>
          <w:rFonts w:ascii="Arial" w:hAnsi="Arial" w:cs="Arial"/>
          <w:sz w:val="20"/>
          <w:szCs w:val="20"/>
          <w:lang w:val="en-CA"/>
        </w:rPr>
        <w:t xml:space="preserve"> New York, NY : AFB Press.</w:t>
      </w:r>
    </w:p>
  </w:footnote>
  <w:footnote w:id="6">
    <w:p w:rsidR="000F3239" w:rsidRPr="001262DF" w:rsidRDefault="000F3239" w:rsidP="00F10A3D">
      <w:pPr>
        <w:rPr>
          <w:rFonts w:ascii="Arial" w:hAnsi="Arial" w:cs="Arial"/>
          <w:lang w:val="fr-CA"/>
        </w:rPr>
      </w:pPr>
      <w:r w:rsidRPr="001262DF">
        <w:rPr>
          <w:rStyle w:val="FootnoteReference"/>
          <w:lang w:val="fr-CA"/>
        </w:rPr>
        <w:footnoteRef/>
      </w:r>
      <w:r w:rsidRPr="00312203">
        <w:rPr>
          <w:lang w:val="en-CA"/>
        </w:rPr>
        <w:t xml:space="preserve"> </w:t>
      </w:r>
      <w:r w:rsidRPr="00312203">
        <w:rPr>
          <w:rFonts w:ascii="Arial" w:hAnsi="Arial" w:cs="Arial"/>
          <w:sz w:val="20"/>
          <w:szCs w:val="20"/>
          <w:lang w:val="en-CA"/>
        </w:rPr>
        <w:t xml:space="preserve">Bishop, V.E, (1996) </w:t>
      </w:r>
      <w:r w:rsidRPr="00312203">
        <w:rPr>
          <w:rFonts w:ascii="Arial" w:hAnsi="Arial" w:cs="Arial"/>
          <w:i/>
          <w:sz w:val="20"/>
          <w:szCs w:val="20"/>
          <w:lang w:val="en-CA"/>
        </w:rPr>
        <w:t xml:space="preserve">Preschool Children with Visual Impairments - </w:t>
      </w:r>
      <w:r w:rsidRPr="00312203">
        <w:rPr>
          <w:rFonts w:ascii="Arial" w:hAnsi="Arial" w:cs="Arial"/>
          <w:sz w:val="20"/>
          <w:szCs w:val="20"/>
          <w:lang w:val="en-CA"/>
        </w:rPr>
        <w:t xml:space="preserve">Texas School for the Blind and Visually Impaired. </w:t>
      </w:r>
      <w:r w:rsidRPr="001262DF">
        <w:rPr>
          <w:rFonts w:ascii="Arial" w:hAnsi="Arial" w:cs="Arial"/>
          <w:sz w:val="20"/>
          <w:szCs w:val="20"/>
          <w:lang w:val="fr-CA"/>
        </w:rPr>
        <w:t xml:space="preserve">Lien : </w:t>
      </w:r>
      <w:hyperlink r:id="rId5" w:history="1">
        <w:r w:rsidRPr="001262DF">
          <w:rPr>
            <w:rStyle w:val="Hyperlink"/>
            <w:lang w:val="fr-CA"/>
          </w:rPr>
          <w:t>http://www.tsbvi.edu/curriculum-a-publications/3/1069-preschool-children-with-visual-impairments-by-virginia-bishop</w:t>
        </w:r>
      </w:hyperlink>
    </w:p>
  </w:footnote>
  <w:footnote w:id="7">
    <w:p w:rsidR="000F3239" w:rsidRPr="000021BE" w:rsidRDefault="000F3239" w:rsidP="00F10A3D">
      <w:pPr>
        <w:rPr>
          <w:rFonts w:ascii="Arial" w:hAnsi="Arial" w:cs="Arial"/>
          <w:lang w:val="en-CA"/>
        </w:rPr>
      </w:pPr>
      <w:r w:rsidRPr="001262DF">
        <w:rPr>
          <w:rStyle w:val="FootnoteReference"/>
          <w:lang w:val="fr-CA"/>
        </w:rPr>
        <w:footnoteRef/>
      </w:r>
      <w:r w:rsidRPr="000021BE">
        <w:rPr>
          <w:lang w:val="en-CA"/>
        </w:rPr>
        <w:t xml:space="preserve"> </w:t>
      </w:r>
      <w:r w:rsidRPr="000021BE">
        <w:rPr>
          <w:rFonts w:ascii="Arial" w:hAnsi="Arial" w:cs="Arial"/>
          <w:sz w:val="20"/>
          <w:szCs w:val="20"/>
          <w:lang w:val="en-CA"/>
        </w:rPr>
        <w:t xml:space="preserve">Lieberman, L.J, Ponchillia, P.E et Ponchillia, S.V (2013) </w:t>
      </w:r>
      <w:r w:rsidRPr="000021BE">
        <w:rPr>
          <w:rFonts w:ascii="Arial" w:hAnsi="Arial" w:cs="Arial"/>
          <w:i/>
          <w:sz w:val="20"/>
          <w:szCs w:val="20"/>
          <w:lang w:val="en-CA"/>
        </w:rPr>
        <w:t>Physical Education and Sports for People with Visual Impairments and Deafblindness : Foundations of Instruction,</w:t>
      </w:r>
      <w:r w:rsidRPr="000021BE">
        <w:rPr>
          <w:rFonts w:ascii="Arial" w:hAnsi="Arial" w:cs="Arial"/>
          <w:sz w:val="20"/>
          <w:szCs w:val="20"/>
          <w:lang w:val="en-CA"/>
        </w:rPr>
        <w:t xml:space="preserve"> New York, NY : AFB Press.</w:t>
      </w:r>
    </w:p>
  </w:footnote>
  <w:footnote w:id="8">
    <w:p w:rsidR="000F3239" w:rsidRPr="00312203" w:rsidRDefault="000F3239">
      <w:pPr>
        <w:pStyle w:val="FootnoteText"/>
        <w:rPr>
          <w:rFonts w:ascii="Arial" w:hAnsi="Arial" w:cs="Arial"/>
          <w:lang w:val="en-CA"/>
        </w:rPr>
      </w:pPr>
      <w:r w:rsidRPr="001262DF">
        <w:rPr>
          <w:rStyle w:val="FootnoteReference"/>
          <w:lang w:val="fr-CA"/>
        </w:rPr>
        <w:footnoteRef/>
      </w:r>
      <w:r w:rsidRPr="00312203">
        <w:rPr>
          <w:lang w:val="en-CA"/>
        </w:rPr>
        <w:t xml:space="preserve"> </w:t>
      </w:r>
      <w:r w:rsidRPr="00312203">
        <w:rPr>
          <w:rFonts w:ascii="Arial" w:hAnsi="Arial" w:cs="Arial"/>
          <w:lang w:val="en-CA"/>
        </w:rPr>
        <w:t>Bishop, V.E, (1996).</w:t>
      </w:r>
    </w:p>
    <w:p w:rsidR="000F3239" w:rsidRPr="00F10A3D" w:rsidRDefault="000F3239">
      <w:pPr>
        <w:pStyle w:val="FootnoteText"/>
        <w:rPr>
          <w:rFonts w:ascii="Arial" w:hAnsi="Arial" w:cs="Arial"/>
        </w:rPr>
      </w:pPr>
    </w:p>
  </w:footnote>
  <w:footnote w:id="9">
    <w:p w:rsidR="000F3239" w:rsidRPr="00312203" w:rsidRDefault="000F3239" w:rsidP="00B134D7">
      <w:pPr>
        <w:pStyle w:val="FootnoteText"/>
        <w:rPr>
          <w:lang w:val="en-CA"/>
        </w:rPr>
      </w:pPr>
      <w:r w:rsidRPr="00037B0C">
        <w:rPr>
          <w:rStyle w:val="FootnoteReference"/>
          <w:lang w:val="fr-CA"/>
        </w:rPr>
        <w:footnoteRef/>
      </w:r>
      <w:r w:rsidRPr="00312203">
        <w:rPr>
          <w:lang w:val="en-CA"/>
        </w:rPr>
        <w:t xml:space="preserve"> </w:t>
      </w:r>
      <w:r w:rsidRPr="00312203">
        <w:rPr>
          <w:rFonts w:ascii="Arial" w:hAnsi="Arial" w:cs="Arial"/>
          <w:lang w:val="en-CA"/>
        </w:rPr>
        <w:t>Bishop, V.E, (1996).</w:t>
      </w:r>
    </w:p>
    <w:p w:rsidR="000F3239" w:rsidRPr="00312203" w:rsidRDefault="000F3239">
      <w:pPr>
        <w:pStyle w:val="FootnoteText"/>
        <w:rPr>
          <w:lang w:val="en-CA"/>
        </w:rPr>
      </w:pPr>
    </w:p>
  </w:footnote>
  <w:footnote w:id="10">
    <w:p w:rsidR="000F3239" w:rsidRPr="001C7C45" w:rsidRDefault="000F3239">
      <w:pPr>
        <w:pStyle w:val="FootnoteText"/>
        <w:rPr>
          <w:lang w:val="en-CA"/>
        </w:rPr>
      </w:pPr>
      <w:r w:rsidRPr="00037B0C">
        <w:rPr>
          <w:rStyle w:val="FootnoteReference"/>
          <w:lang w:val="fr-CA"/>
        </w:rPr>
        <w:footnoteRef/>
      </w:r>
      <w:r w:rsidRPr="00312203">
        <w:rPr>
          <w:lang w:val="en-CA"/>
        </w:rPr>
        <w:t xml:space="preserve"> </w:t>
      </w:r>
      <w:r w:rsidRPr="00312203">
        <w:rPr>
          <w:rFonts w:ascii="Arial" w:hAnsi="Arial" w:cs="Arial"/>
          <w:lang w:val="en-CA"/>
        </w:rPr>
        <w:t xml:space="preserve">Lieberman, L.J, Ponchillia, P.E et Ponchillia, S.V (2013) : chapitre 6. Anthony, T, </w:t>
      </w:r>
      <w:r w:rsidRPr="00312203">
        <w:rPr>
          <w:rFonts w:ascii="Arial" w:hAnsi="Arial" w:cs="Arial"/>
          <w:u w:val="single"/>
          <w:lang w:val="en-CA"/>
        </w:rPr>
        <w:t>Movement and Play in Early Childhood Development</w:t>
      </w:r>
      <w:r w:rsidRPr="00312203">
        <w:rPr>
          <w:rFonts w:ascii="Arial" w:hAnsi="Arial" w:cs="Arial"/>
          <w:lang w:val="en-CA"/>
        </w:rPr>
        <w:t>, p.165.</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E6E58"/>
    <w:multiLevelType w:val="hybridMultilevel"/>
    <w:tmpl w:val="5584FA82"/>
    <w:lvl w:ilvl="0" w:tplc="BB3EDDBE">
      <w:start w:val="36"/>
      <w:numFmt w:val="upperLetter"/>
      <w:lvlText w:val="%1."/>
      <w:lvlJc w:val="left"/>
      <w:pPr>
        <w:ind w:left="720" w:hanging="360"/>
      </w:pPr>
      <w:rPr>
        <w:rFonts w:ascii="Arial" w:hAnsi="Arial" w:cs="Arial" w:hint="default"/>
        <w:b w:val="0"/>
        <w:color w:val="auto"/>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C176355"/>
    <w:multiLevelType w:val="hybridMultilevel"/>
    <w:tmpl w:val="49C430BA"/>
    <w:lvl w:ilvl="0" w:tplc="10090013">
      <w:start w:val="1"/>
      <w:numFmt w:val="upperRoman"/>
      <w:lvlText w:val="%1."/>
      <w:lvlJc w:val="righ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25EA4CF0"/>
    <w:multiLevelType w:val="hybridMultilevel"/>
    <w:tmpl w:val="AB80CB5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2BF46BD2"/>
    <w:multiLevelType w:val="hybridMultilevel"/>
    <w:tmpl w:val="CE32EB5E"/>
    <w:lvl w:ilvl="0" w:tplc="02A6ED3E">
      <w:start w:val="1"/>
      <w:numFmt w:val="bullet"/>
      <w:lvlText w:val=""/>
      <w:lvlJc w:val="left"/>
      <w:pPr>
        <w:ind w:left="1440" w:hanging="360"/>
      </w:pPr>
      <w:rPr>
        <w:rFonts w:ascii="Symbol" w:hAnsi="Symbol" w:hint="default"/>
        <w:lang w:val="fr-CA"/>
      </w:r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nsid w:val="32F944BE"/>
    <w:multiLevelType w:val="hybridMultilevel"/>
    <w:tmpl w:val="3BE4232C"/>
    <w:lvl w:ilvl="0" w:tplc="A07AD938">
      <w:start w:val="1"/>
      <w:numFmt w:val="lowerRoman"/>
      <w:lvlText w:val="%1."/>
      <w:lvlJc w:val="right"/>
      <w:pPr>
        <w:ind w:left="720" w:hanging="360"/>
      </w:pPr>
      <w:rPr>
        <w:rFonts w:hint="default"/>
        <w:lang w:val="fr-CA"/>
      </w:rPr>
    </w:lvl>
    <w:lvl w:ilvl="1" w:tplc="10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4047CC"/>
    <w:multiLevelType w:val="hybridMultilevel"/>
    <w:tmpl w:val="D7D499D8"/>
    <w:lvl w:ilvl="0" w:tplc="10090015">
      <w:start w:val="36"/>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40647AA2"/>
    <w:multiLevelType w:val="multilevel"/>
    <w:tmpl w:val="0454643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40D43902"/>
    <w:multiLevelType w:val="hybridMultilevel"/>
    <w:tmpl w:val="054C882E"/>
    <w:lvl w:ilvl="0" w:tplc="762E3C48">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44041962"/>
    <w:multiLevelType w:val="hybridMultilevel"/>
    <w:tmpl w:val="CFB4A4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571A49B7"/>
    <w:multiLevelType w:val="hybridMultilevel"/>
    <w:tmpl w:val="72940738"/>
    <w:lvl w:ilvl="0" w:tplc="1009001B">
      <w:start w:val="1"/>
      <w:numFmt w:val="lowerRoman"/>
      <w:lvlText w:val="%1."/>
      <w:lvlJc w:val="righ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10">
    <w:nsid w:val="638A6FB5"/>
    <w:multiLevelType w:val="hybridMultilevel"/>
    <w:tmpl w:val="29F06222"/>
    <w:lvl w:ilvl="0" w:tplc="3C166CFA">
      <w:start w:val="4"/>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63FC0C7C"/>
    <w:multiLevelType w:val="hybridMultilevel"/>
    <w:tmpl w:val="BED6CBF2"/>
    <w:lvl w:ilvl="0" w:tplc="AA38DB16">
      <w:start w:val="1"/>
      <w:numFmt w:val="upperLetter"/>
      <w:lvlText w:val="%1."/>
      <w:lvlJc w:val="left"/>
      <w:pPr>
        <w:ind w:left="360" w:hanging="360"/>
      </w:pPr>
      <w:rPr>
        <w:rFonts w:hint="default"/>
        <w:lang w:val="fr-CA"/>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654713B8"/>
    <w:multiLevelType w:val="hybridMultilevel"/>
    <w:tmpl w:val="CC34A588"/>
    <w:lvl w:ilvl="0" w:tplc="C962623E">
      <w:start w:val="1"/>
      <w:numFmt w:val="decimal"/>
      <w:lvlText w:val="%1."/>
      <w:lvlJc w:val="left"/>
      <w:pPr>
        <w:ind w:left="720" w:hanging="360"/>
      </w:pPr>
      <w:rPr>
        <w:rFonts w:hint="default"/>
        <w:b w:val="0"/>
        <w:i w:val="0"/>
        <w:lang w:val="fr-CA"/>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67782C7B"/>
    <w:multiLevelType w:val="hybridMultilevel"/>
    <w:tmpl w:val="4E7655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741B10A2"/>
    <w:multiLevelType w:val="hybridMultilevel"/>
    <w:tmpl w:val="9416AC5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785104B0"/>
    <w:multiLevelType w:val="hybridMultilevel"/>
    <w:tmpl w:val="B1EC3654"/>
    <w:lvl w:ilvl="0" w:tplc="EEDE52EC">
      <w:start w:val="36"/>
      <w:numFmt w:val="upperLetter"/>
      <w:lvlText w:val="%1."/>
      <w:lvlJc w:val="left"/>
      <w:pPr>
        <w:ind w:left="720" w:hanging="360"/>
      </w:pPr>
      <w:rPr>
        <w:rFonts w:ascii="Arial" w:hAnsi="Arial" w:cs="Arial" w:hint="default"/>
        <w:b w:val="0"/>
        <w:color w:val="auto"/>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78EA01C8"/>
    <w:multiLevelType w:val="hybridMultilevel"/>
    <w:tmpl w:val="3B20B5FA"/>
    <w:lvl w:ilvl="0" w:tplc="CAB048DC">
      <w:start w:val="1"/>
      <w:numFmt w:val="lowerLetter"/>
      <w:lvlText w:val="%1)"/>
      <w:lvlJc w:val="left"/>
      <w:pPr>
        <w:ind w:left="720" w:hanging="360"/>
      </w:pPr>
      <w:rPr>
        <w:rFonts w:hint="default"/>
        <w:lang w:val="fr-C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4"/>
  </w:num>
  <w:num w:numId="3">
    <w:abstractNumId w:val="8"/>
  </w:num>
  <w:num w:numId="4">
    <w:abstractNumId w:val="2"/>
  </w:num>
  <w:num w:numId="5">
    <w:abstractNumId w:val="14"/>
  </w:num>
  <w:num w:numId="6">
    <w:abstractNumId w:val="3"/>
  </w:num>
  <w:num w:numId="7">
    <w:abstractNumId w:val="1"/>
  </w:num>
  <w:num w:numId="8">
    <w:abstractNumId w:val="12"/>
  </w:num>
  <w:num w:numId="9">
    <w:abstractNumId w:val="6"/>
  </w:num>
  <w:num w:numId="10">
    <w:abstractNumId w:val="7"/>
  </w:num>
  <w:num w:numId="11">
    <w:abstractNumId w:val="11"/>
  </w:num>
  <w:num w:numId="12">
    <w:abstractNumId w:val="9"/>
  </w:num>
  <w:num w:numId="13">
    <w:abstractNumId w:val="10"/>
  </w:num>
  <w:num w:numId="14">
    <w:abstractNumId w:val="16"/>
  </w:num>
  <w:num w:numId="15">
    <w:abstractNumId w:val="15"/>
  </w:num>
  <w:num w:numId="16">
    <w:abstractNumId w:val="0"/>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characterSpacingControl w:val="doNotCompress"/>
  <w:footnotePr>
    <w:footnote w:id="-1"/>
    <w:footnote w:id="0"/>
  </w:footnotePr>
  <w:endnotePr>
    <w:endnote w:id="-1"/>
    <w:endnote w:id="0"/>
  </w:endnotePr>
  <w:compat/>
  <w:rsids>
    <w:rsidRoot w:val="00080CD0"/>
    <w:rsid w:val="000021BE"/>
    <w:rsid w:val="0000281D"/>
    <w:rsid w:val="00002EF2"/>
    <w:rsid w:val="00006BEA"/>
    <w:rsid w:val="000237DA"/>
    <w:rsid w:val="00026773"/>
    <w:rsid w:val="00037B0C"/>
    <w:rsid w:val="00037E88"/>
    <w:rsid w:val="00041117"/>
    <w:rsid w:val="00041BD5"/>
    <w:rsid w:val="00051865"/>
    <w:rsid w:val="00057B2F"/>
    <w:rsid w:val="00063D84"/>
    <w:rsid w:val="000653E1"/>
    <w:rsid w:val="000800C4"/>
    <w:rsid w:val="00080CD0"/>
    <w:rsid w:val="00082004"/>
    <w:rsid w:val="000842E8"/>
    <w:rsid w:val="00085EC3"/>
    <w:rsid w:val="00096F3E"/>
    <w:rsid w:val="000A40A2"/>
    <w:rsid w:val="000A46C2"/>
    <w:rsid w:val="000B1CD2"/>
    <w:rsid w:val="000B5515"/>
    <w:rsid w:val="000B5A69"/>
    <w:rsid w:val="000C010A"/>
    <w:rsid w:val="000C6349"/>
    <w:rsid w:val="000C6620"/>
    <w:rsid w:val="000D1C32"/>
    <w:rsid w:val="000D412D"/>
    <w:rsid w:val="000D6210"/>
    <w:rsid w:val="000D669F"/>
    <w:rsid w:val="000D7B85"/>
    <w:rsid w:val="000E1F6C"/>
    <w:rsid w:val="000E65C0"/>
    <w:rsid w:val="000F2A5B"/>
    <w:rsid w:val="000F3239"/>
    <w:rsid w:val="001001CA"/>
    <w:rsid w:val="00106351"/>
    <w:rsid w:val="00106E08"/>
    <w:rsid w:val="00110219"/>
    <w:rsid w:val="001110D4"/>
    <w:rsid w:val="001122A0"/>
    <w:rsid w:val="00114EF6"/>
    <w:rsid w:val="001161D2"/>
    <w:rsid w:val="00120202"/>
    <w:rsid w:val="0012488A"/>
    <w:rsid w:val="001262DF"/>
    <w:rsid w:val="00127220"/>
    <w:rsid w:val="00131855"/>
    <w:rsid w:val="00133F75"/>
    <w:rsid w:val="00134DA6"/>
    <w:rsid w:val="00136213"/>
    <w:rsid w:val="00136600"/>
    <w:rsid w:val="001418E1"/>
    <w:rsid w:val="001422C9"/>
    <w:rsid w:val="0014242F"/>
    <w:rsid w:val="00147EE9"/>
    <w:rsid w:val="00151D8C"/>
    <w:rsid w:val="00155E80"/>
    <w:rsid w:val="001605FE"/>
    <w:rsid w:val="001609AF"/>
    <w:rsid w:val="0016307A"/>
    <w:rsid w:val="001722A9"/>
    <w:rsid w:val="001773AF"/>
    <w:rsid w:val="001777DE"/>
    <w:rsid w:val="00181709"/>
    <w:rsid w:val="0019097E"/>
    <w:rsid w:val="00190BF5"/>
    <w:rsid w:val="00191F5C"/>
    <w:rsid w:val="001920BF"/>
    <w:rsid w:val="001A1F97"/>
    <w:rsid w:val="001A3205"/>
    <w:rsid w:val="001A5DAE"/>
    <w:rsid w:val="001A64A1"/>
    <w:rsid w:val="001B2007"/>
    <w:rsid w:val="001B384B"/>
    <w:rsid w:val="001B73D6"/>
    <w:rsid w:val="001B76AB"/>
    <w:rsid w:val="001C0077"/>
    <w:rsid w:val="001C5223"/>
    <w:rsid w:val="001C78AC"/>
    <w:rsid w:val="001C7C45"/>
    <w:rsid w:val="001D0643"/>
    <w:rsid w:val="001D3F22"/>
    <w:rsid w:val="001D74C5"/>
    <w:rsid w:val="001E1746"/>
    <w:rsid w:val="001E4AEF"/>
    <w:rsid w:val="001F38C7"/>
    <w:rsid w:val="001F479B"/>
    <w:rsid w:val="001F6B9D"/>
    <w:rsid w:val="002019FB"/>
    <w:rsid w:val="00201A78"/>
    <w:rsid w:val="002046E5"/>
    <w:rsid w:val="00211982"/>
    <w:rsid w:val="00212237"/>
    <w:rsid w:val="00212D13"/>
    <w:rsid w:val="002131AD"/>
    <w:rsid w:val="00214E3E"/>
    <w:rsid w:val="00216689"/>
    <w:rsid w:val="002218B7"/>
    <w:rsid w:val="0022208F"/>
    <w:rsid w:val="00222E64"/>
    <w:rsid w:val="00230A1E"/>
    <w:rsid w:val="00234E70"/>
    <w:rsid w:val="00237BB8"/>
    <w:rsid w:val="00237F4D"/>
    <w:rsid w:val="0024063B"/>
    <w:rsid w:val="002436E5"/>
    <w:rsid w:val="002439BE"/>
    <w:rsid w:val="00246664"/>
    <w:rsid w:val="0024714B"/>
    <w:rsid w:val="002541BD"/>
    <w:rsid w:val="00255FC8"/>
    <w:rsid w:val="002577C6"/>
    <w:rsid w:val="00260A27"/>
    <w:rsid w:val="002630EA"/>
    <w:rsid w:val="00265EF6"/>
    <w:rsid w:val="00270631"/>
    <w:rsid w:val="00270959"/>
    <w:rsid w:val="00271CF6"/>
    <w:rsid w:val="0027466B"/>
    <w:rsid w:val="00280E6E"/>
    <w:rsid w:val="00285997"/>
    <w:rsid w:val="0029343B"/>
    <w:rsid w:val="00293C96"/>
    <w:rsid w:val="002976F9"/>
    <w:rsid w:val="002A0D95"/>
    <w:rsid w:val="002A20F5"/>
    <w:rsid w:val="002A2650"/>
    <w:rsid w:val="002A4402"/>
    <w:rsid w:val="002A59F4"/>
    <w:rsid w:val="002B3107"/>
    <w:rsid w:val="002B60D1"/>
    <w:rsid w:val="002B60E3"/>
    <w:rsid w:val="002C2A16"/>
    <w:rsid w:val="002C2FEE"/>
    <w:rsid w:val="002C6F5F"/>
    <w:rsid w:val="002C738F"/>
    <w:rsid w:val="002D2867"/>
    <w:rsid w:val="002D3267"/>
    <w:rsid w:val="002D3540"/>
    <w:rsid w:val="002D3932"/>
    <w:rsid w:val="002E2C32"/>
    <w:rsid w:val="002E3AFF"/>
    <w:rsid w:val="002F56DB"/>
    <w:rsid w:val="00303128"/>
    <w:rsid w:val="00303EC7"/>
    <w:rsid w:val="003049DE"/>
    <w:rsid w:val="00306268"/>
    <w:rsid w:val="0030777F"/>
    <w:rsid w:val="00311AE4"/>
    <w:rsid w:val="00312203"/>
    <w:rsid w:val="00314562"/>
    <w:rsid w:val="00316396"/>
    <w:rsid w:val="0031748D"/>
    <w:rsid w:val="0032306D"/>
    <w:rsid w:val="0032508A"/>
    <w:rsid w:val="00336B2A"/>
    <w:rsid w:val="0034191F"/>
    <w:rsid w:val="00341DEC"/>
    <w:rsid w:val="00342C21"/>
    <w:rsid w:val="00343D33"/>
    <w:rsid w:val="00344741"/>
    <w:rsid w:val="00350B90"/>
    <w:rsid w:val="00350C74"/>
    <w:rsid w:val="003533ED"/>
    <w:rsid w:val="003546CC"/>
    <w:rsid w:val="003576E5"/>
    <w:rsid w:val="00357799"/>
    <w:rsid w:val="00370B57"/>
    <w:rsid w:val="00373D29"/>
    <w:rsid w:val="00374424"/>
    <w:rsid w:val="00380845"/>
    <w:rsid w:val="00380F5F"/>
    <w:rsid w:val="00381E58"/>
    <w:rsid w:val="0038231E"/>
    <w:rsid w:val="0038750D"/>
    <w:rsid w:val="00394406"/>
    <w:rsid w:val="0039663F"/>
    <w:rsid w:val="003A3B02"/>
    <w:rsid w:val="003A509F"/>
    <w:rsid w:val="003A681A"/>
    <w:rsid w:val="003B1759"/>
    <w:rsid w:val="003B3C26"/>
    <w:rsid w:val="003B3CDC"/>
    <w:rsid w:val="003B4982"/>
    <w:rsid w:val="003B52DA"/>
    <w:rsid w:val="003B5899"/>
    <w:rsid w:val="003C01A3"/>
    <w:rsid w:val="003C4C77"/>
    <w:rsid w:val="003C50FA"/>
    <w:rsid w:val="003C5BB2"/>
    <w:rsid w:val="003C6255"/>
    <w:rsid w:val="003C6448"/>
    <w:rsid w:val="003C73E9"/>
    <w:rsid w:val="003D0289"/>
    <w:rsid w:val="003D5294"/>
    <w:rsid w:val="003D6F3A"/>
    <w:rsid w:val="003E0D60"/>
    <w:rsid w:val="003E223F"/>
    <w:rsid w:val="003E331B"/>
    <w:rsid w:val="003E6E95"/>
    <w:rsid w:val="003F4A10"/>
    <w:rsid w:val="00402B39"/>
    <w:rsid w:val="004037AB"/>
    <w:rsid w:val="00403A7E"/>
    <w:rsid w:val="004045CA"/>
    <w:rsid w:val="0040739C"/>
    <w:rsid w:val="00413D2B"/>
    <w:rsid w:val="00413D56"/>
    <w:rsid w:val="00421A38"/>
    <w:rsid w:val="004225ED"/>
    <w:rsid w:val="00422E34"/>
    <w:rsid w:val="00423FD8"/>
    <w:rsid w:val="00425F54"/>
    <w:rsid w:val="00427D4F"/>
    <w:rsid w:val="00431297"/>
    <w:rsid w:val="00436AF7"/>
    <w:rsid w:val="0044242D"/>
    <w:rsid w:val="00445493"/>
    <w:rsid w:val="0044788E"/>
    <w:rsid w:val="00450906"/>
    <w:rsid w:val="004521F6"/>
    <w:rsid w:val="004522D5"/>
    <w:rsid w:val="0045400F"/>
    <w:rsid w:val="004555D0"/>
    <w:rsid w:val="004572DC"/>
    <w:rsid w:val="0045757E"/>
    <w:rsid w:val="00465DCD"/>
    <w:rsid w:val="00466139"/>
    <w:rsid w:val="004666D6"/>
    <w:rsid w:val="004715E9"/>
    <w:rsid w:val="004839BE"/>
    <w:rsid w:val="00483E21"/>
    <w:rsid w:val="00483FA7"/>
    <w:rsid w:val="004845CD"/>
    <w:rsid w:val="00484D7D"/>
    <w:rsid w:val="004860A2"/>
    <w:rsid w:val="00486962"/>
    <w:rsid w:val="00487409"/>
    <w:rsid w:val="00491ECA"/>
    <w:rsid w:val="00497AD5"/>
    <w:rsid w:val="004A1363"/>
    <w:rsid w:val="004A3074"/>
    <w:rsid w:val="004A61DE"/>
    <w:rsid w:val="004A79F4"/>
    <w:rsid w:val="004C044E"/>
    <w:rsid w:val="004C085C"/>
    <w:rsid w:val="004C28E9"/>
    <w:rsid w:val="004D7C40"/>
    <w:rsid w:val="004E0BDC"/>
    <w:rsid w:val="004E268A"/>
    <w:rsid w:val="004E3786"/>
    <w:rsid w:val="004E7CD2"/>
    <w:rsid w:val="005031BB"/>
    <w:rsid w:val="00521AB5"/>
    <w:rsid w:val="0052627B"/>
    <w:rsid w:val="0053025D"/>
    <w:rsid w:val="00531598"/>
    <w:rsid w:val="00531898"/>
    <w:rsid w:val="005321A8"/>
    <w:rsid w:val="005325DD"/>
    <w:rsid w:val="00532D28"/>
    <w:rsid w:val="005331E9"/>
    <w:rsid w:val="00537408"/>
    <w:rsid w:val="00540E28"/>
    <w:rsid w:val="005413C3"/>
    <w:rsid w:val="00542190"/>
    <w:rsid w:val="00544A89"/>
    <w:rsid w:val="0056035A"/>
    <w:rsid w:val="00567FBF"/>
    <w:rsid w:val="00570989"/>
    <w:rsid w:val="00572609"/>
    <w:rsid w:val="00580085"/>
    <w:rsid w:val="00586E17"/>
    <w:rsid w:val="00594094"/>
    <w:rsid w:val="00594699"/>
    <w:rsid w:val="00594FD0"/>
    <w:rsid w:val="0059607F"/>
    <w:rsid w:val="005976CC"/>
    <w:rsid w:val="005A055C"/>
    <w:rsid w:val="005A1771"/>
    <w:rsid w:val="005A6244"/>
    <w:rsid w:val="005A773C"/>
    <w:rsid w:val="005A7909"/>
    <w:rsid w:val="005B2962"/>
    <w:rsid w:val="005B4AE4"/>
    <w:rsid w:val="005B5594"/>
    <w:rsid w:val="005C2C71"/>
    <w:rsid w:val="005C3B01"/>
    <w:rsid w:val="005C53B2"/>
    <w:rsid w:val="005D189D"/>
    <w:rsid w:val="005D2076"/>
    <w:rsid w:val="005D2F81"/>
    <w:rsid w:val="005D4B74"/>
    <w:rsid w:val="005D5533"/>
    <w:rsid w:val="005E21AF"/>
    <w:rsid w:val="005E4F39"/>
    <w:rsid w:val="005E52CC"/>
    <w:rsid w:val="005E629E"/>
    <w:rsid w:val="005E7DDB"/>
    <w:rsid w:val="00610126"/>
    <w:rsid w:val="0061139D"/>
    <w:rsid w:val="00612ECD"/>
    <w:rsid w:val="006164B9"/>
    <w:rsid w:val="006257E2"/>
    <w:rsid w:val="00625C3E"/>
    <w:rsid w:val="006269FF"/>
    <w:rsid w:val="006322E0"/>
    <w:rsid w:val="006342B6"/>
    <w:rsid w:val="00634AA9"/>
    <w:rsid w:val="00636D8A"/>
    <w:rsid w:val="00637682"/>
    <w:rsid w:val="00642A89"/>
    <w:rsid w:val="00645A26"/>
    <w:rsid w:val="0065157C"/>
    <w:rsid w:val="00653043"/>
    <w:rsid w:val="00654357"/>
    <w:rsid w:val="006543AE"/>
    <w:rsid w:val="00654FD0"/>
    <w:rsid w:val="006605D1"/>
    <w:rsid w:val="00662BAC"/>
    <w:rsid w:val="00666F65"/>
    <w:rsid w:val="00667CF3"/>
    <w:rsid w:val="00670DC1"/>
    <w:rsid w:val="006713BA"/>
    <w:rsid w:val="00680E28"/>
    <w:rsid w:val="00683842"/>
    <w:rsid w:val="00684426"/>
    <w:rsid w:val="0068555D"/>
    <w:rsid w:val="006874FD"/>
    <w:rsid w:val="00691355"/>
    <w:rsid w:val="00691A41"/>
    <w:rsid w:val="00693584"/>
    <w:rsid w:val="006A1644"/>
    <w:rsid w:val="006A231B"/>
    <w:rsid w:val="006A27E1"/>
    <w:rsid w:val="006B0545"/>
    <w:rsid w:val="006C0E44"/>
    <w:rsid w:val="006C29D5"/>
    <w:rsid w:val="006D6074"/>
    <w:rsid w:val="006E03EB"/>
    <w:rsid w:val="006E26A1"/>
    <w:rsid w:val="006E342A"/>
    <w:rsid w:val="006E5086"/>
    <w:rsid w:val="006E7681"/>
    <w:rsid w:val="006E7832"/>
    <w:rsid w:val="006F0FFC"/>
    <w:rsid w:val="006F1EDF"/>
    <w:rsid w:val="006F3D1D"/>
    <w:rsid w:val="006F65FB"/>
    <w:rsid w:val="007017F4"/>
    <w:rsid w:val="00705BED"/>
    <w:rsid w:val="00706031"/>
    <w:rsid w:val="00711695"/>
    <w:rsid w:val="00714A77"/>
    <w:rsid w:val="00715AFE"/>
    <w:rsid w:val="00722E47"/>
    <w:rsid w:val="00723F90"/>
    <w:rsid w:val="007253B4"/>
    <w:rsid w:val="007268AF"/>
    <w:rsid w:val="00733A34"/>
    <w:rsid w:val="0073474B"/>
    <w:rsid w:val="007352E1"/>
    <w:rsid w:val="007378E3"/>
    <w:rsid w:val="00737C8A"/>
    <w:rsid w:val="0074017E"/>
    <w:rsid w:val="007539BD"/>
    <w:rsid w:val="00757E7B"/>
    <w:rsid w:val="00760972"/>
    <w:rsid w:val="00762776"/>
    <w:rsid w:val="00762980"/>
    <w:rsid w:val="00763034"/>
    <w:rsid w:val="00767370"/>
    <w:rsid w:val="0077743C"/>
    <w:rsid w:val="00777DB1"/>
    <w:rsid w:val="00780F3B"/>
    <w:rsid w:val="0078513E"/>
    <w:rsid w:val="007912BC"/>
    <w:rsid w:val="00797735"/>
    <w:rsid w:val="007A0B79"/>
    <w:rsid w:val="007A13F2"/>
    <w:rsid w:val="007A5DFE"/>
    <w:rsid w:val="007B0C90"/>
    <w:rsid w:val="007B1CD6"/>
    <w:rsid w:val="007B1DAB"/>
    <w:rsid w:val="007B26A1"/>
    <w:rsid w:val="007B281D"/>
    <w:rsid w:val="007B2876"/>
    <w:rsid w:val="007B2F91"/>
    <w:rsid w:val="007B655D"/>
    <w:rsid w:val="007C18A8"/>
    <w:rsid w:val="007C6BBB"/>
    <w:rsid w:val="007D3D09"/>
    <w:rsid w:val="007D5D83"/>
    <w:rsid w:val="007D5FB4"/>
    <w:rsid w:val="007E0659"/>
    <w:rsid w:val="007E2CFF"/>
    <w:rsid w:val="007E4820"/>
    <w:rsid w:val="007E63E5"/>
    <w:rsid w:val="007F3C62"/>
    <w:rsid w:val="007F44FF"/>
    <w:rsid w:val="007F73AA"/>
    <w:rsid w:val="0080417D"/>
    <w:rsid w:val="00807A2A"/>
    <w:rsid w:val="008109E8"/>
    <w:rsid w:val="00815021"/>
    <w:rsid w:val="00820777"/>
    <w:rsid w:val="0082284E"/>
    <w:rsid w:val="008242DE"/>
    <w:rsid w:val="00824BBC"/>
    <w:rsid w:val="00824E5F"/>
    <w:rsid w:val="00834158"/>
    <w:rsid w:val="0083526E"/>
    <w:rsid w:val="0083584A"/>
    <w:rsid w:val="00840709"/>
    <w:rsid w:val="0084780E"/>
    <w:rsid w:val="008479B5"/>
    <w:rsid w:val="00851760"/>
    <w:rsid w:val="008518A9"/>
    <w:rsid w:val="0085349B"/>
    <w:rsid w:val="00857001"/>
    <w:rsid w:val="00867411"/>
    <w:rsid w:val="008744FB"/>
    <w:rsid w:val="00875BA1"/>
    <w:rsid w:val="00875BE1"/>
    <w:rsid w:val="00875FEB"/>
    <w:rsid w:val="008762EB"/>
    <w:rsid w:val="00876382"/>
    <w:rsid w:val="00877C30"/>
    <w:rsid w:val="008819E3"/>
    <w:rsid w:val="00881DF9"/>
    <w:rsid w:val="008822A7"/>
    <w:rsid w:val="00883E18"/>
    <w:rsid w:val="00897AE4"/>
    <w:rsid w:val="008A4959"/>
    <w:rsid w:val="008A50D0"/>
    <w:rsid w:val="008B6ABC"/>
    <w:rsid w:val="008C609C"/>
    <w:rsid w:val="008D2E05"/>
    <w:rsid w:val="008D33F8"/>
    <w:rsid w:val="008D53E0"/>
    <w:rsid w:val="008E369B"/>
    <w:rsid w:val="008E69F8"/>
    <w:rsid w:val="008F26DE"/>
    <w:rsid w:val="008F3A1B"/>
    <w:rsid w:val="009069F5"/>
    <w:rsid w:val="009073A7"/>
    <w:rsid w:val="00910CFD"/>
    <w:rsid w:val="00916242"/>
    <w:rsid w:val="00923256"/>
    <w:rsid w:val="009241EF"/>
    <w:rsid w:val="009323BB"/>
    <w:rsid w:val="00932D4C"/>
    <w:rsid w:val="0093320D"/>
    <w:rsid w:val="009351B6"/>
    <w:rsid w:val="00945FFB"/>
    <w:rsid w:val="00947D40"/>
    <w:rsid w:val="00954901"/>
    <w:rsid w:val="00954B1C"/>
    <w:rsid w:val="00960F85"/>
    <w:rsid w:val="009612C5"/>
    <w:rsid w:val="00977373"/>
    <w:rsid w:val="009914BE"/>
    <w:rsid w:val="0099183D"/>
    <w:rsid w:val="00991FAB"/>
    <w:rsid w:val="0099225E"/>
    <w:rsid w:val="00993B71"/>
    <w:rsid w:val="009A17E2"/>
    <w:rsid w:val="009A77B0"/>
    <w:rsid w:val="009B1756"/>
    <w:rsid w:val="009B408B"/>
    <w:rsid w:val="009B7F2E"/>
    <w:rsid w:val="009C03DF"/>
    <w:rsid w:val="009C104B"/>
    <w:rsid w:val="009C3E89"/>
    <w:rsid w:val="009D0C1D"/>
    <w:rsid w:val="009D2C55"/>
    <w:rsid w:val="009D3895"/>
    <w:rsid w:val="009D75BC"/>
    <w:rsid w:val="009D7AC9"/>
    <w:rsid w:val="009E0676"/>
    <w:rsid w:val="009E169E"/>
    <w:rsid w:val="009E1750"/>
    <w:rsid w:val="009E440E"/>
    <w:rsid w:val="009E495C"/>
    <w:rsid w:val="009F0759"/>
    <w:rsid w:val="009F246D"/>
    <w:rsid w:val="009F251B"/>
    <w:rsid w:val="009F2806"/>
    <w:rsid w:val="00A057E8"/>
    <w:rsid w:val="00A10E33"/>
    <w:rsid w:val="00A120B2"/>
    <w:rsid w:val="00A20A61"/>
    <w:rsid w:val="00A22ED8"/>
    <w:rsid w:val="00A262F8"/>
    <w:rsid w:val="00A32B1C"/>
    <w:rsid w:val="00A36F3C"/>
    <w:rsid w:val="00A3763E"/>
    <w:rsid w:val="00A422E4"/>
    <w:rsid w:val="00A4654E"/>
    <w:rsid w:val="00A500A3"/>
    <w:rsid w:val="00A5068F"/>
    <w:rsid w:val="00A54913"/>
    <w:rsid w:val="00A54DA6"/>
    <w:rsid w:val="00A607EF"/>
    <w:rsid w:val="00A61122"/>
    <w:rsid w:val="00A629EB"/>
    <w:rsid w:val="00A65AEA"/>
    <w:rsid w:val="00A84E92"/>
    <w:rsid w:val="00A84F2F"/>
    <w:rsid w:val="00A85378"/>
    <w:rsid w:val="00A85881"/>
    <w:rsid w:val="00A955C6"/>
    <w:rsid w:val="00AA1442"/>
    <w:rsid w:val="00AA1A84"/>
    <w:rsid w:val="00AA1B9C"/>
    <w:rsid w:val="00AA4324"/>
    <w:rsid w:val="00AA5420"/>
    <w:rsid w:val="00AB32EB"/>
    <w:rsid w:val="00AB3EEE"/>
    <w:rsid w:val="00AB4229"/>
    <w:rsid w:val="00AB75BD"/>
    <w:rsid w:val="00AC58E0"/>
    <w:rsid w:val="00AC5EB8"/>
    <w:rsid w:val="00AD00A3"/>
    <w:rsid w:val="00AD7FA6"/>
    <w:rsid w:val="00AE1420"/>
    <w:rsid w:val="00AF1744"/>
    <w:rsid w:val="00AF4E54"/>
    <w:rsid w:val="00AF760D"/>
    <w:rsid w:val="00B00AF0"/>
    <w:rsid w:val="00B0118D"/>
    <w:rsid w:val="00B07F62"/>
    <w:rsid w:val="00B134D7"/>
    <w:rsid w:val="00B13889"/>
    <w:rsid w:val="00B15107"/>
    <w:rsid w:val="00B21905"/>
    <w:rsid w:val="00B24EDC"/>
    <w:rsid w:val="00B30114"/>
    <w:rsid w:val="00B317B2"/>
    <w:rsid w:val="00B31EC7"/>
    <w:rsid w:val="00B33035"/>
    <w:rsid w:val="00B377CA"/>
    <w:rsid w:val="00B41AAE"/>
    <w:rsid w:val="00B453AC"/>
    <w:rsid w:val="00B47D10"/>
    <w:rsid w:val="00B50394"/>
    <w:rsid w:val="00B5552C"/>
    <w:rsid w:val="00B60618"/>
    <w:rsid w:val="00B61ECB"/>
    <w:rsid w:val="00B63E80"/>
    <w:rsid w:val="00B65419"/>
    <w:rsid w:val="00B658D6"/>
    <w:rsid w:val="00B66A9A"/>
    <w:rsid w:val="00B66C74"/>
    <w:rsid w:val="00B70375"/>
    <w:rsid w:val="00B70C9C"/>
    <w:rsid w:val="00B718FF"/>
    <w:rsid w:val="00B72816"/>
    <w:rsid w:val="00B72B3F"/>
    <w:rsid w:val="00B83A11"/>
    <w:rsid w:val="00B84B9E"/>
    <w:rsid w:val="00B8649C"/>
    <w:rsid w:val="00B86ECC"/>
    <w:rsid w:val="00B90083"/>
    <w:rsid w:val="00B97AE6"/>
    <w:rsid w:val="00BA3816"/>
    <w:rsid w:val="00BB15B8"/>
    <w:rsid w:val="00BC2219"/>
    <w:rsid w:val="00BC4E65"/>
    <w:rsid w:val="00BC61E2"/>
    <w:rsid w:val="00BD4D74"/>
    <w:rsid w:val="00BD553E"/>
    <w:rsid w:val="00BE1F12"/>
    <w:rsid w:val="00BE2805"/>
    <w:rsid w:val="00BE2B8D"/>
    <w:rsid w:val="00BE2BA9"/>
    <w:rsid w:val="00BE7584"/>
    <w:rsid w:val="00BF543C"/>
    <w:rsid w:val="00C10AC3"/>
    <w:rsid w:val="00C111F7"/>
    <w:rsid w:val="00C1158F"/>
    <w:rsid w:val="00C11769"/>
    <w:rsid w:val="00C12218"/>
    <w:rsid w:val="00C13999"/>
    <w:rsid w:val="00C15F31"/>
    <w:rsid w:val="00C1673C"/>
    <w:rsid w:val="00C225F2"/>
    <w:rsid w:val="00C22F52"/>
    <w:rsid w:val="00C231D6"/>
    <w:rsid w:val="00C241CE"/>
    <w:rsid w:val="00C25E3E"/>
    <w:rsid w:val="00C308DA"/>
    <w:rsid w:val="00C3163C"/>
    <w:rsid w:val="00C31EFB"/>
    <w:rsid w:val="00C33FA6"/>
    <w:rsid w:val="00C3403A"/>
    <w:rsid w:val="00C34084"/>
    <w:rsid w:val="00C4012D"/>
    <w:rsid w:val="00C4332F"/>
    <w:rsid w:val="00C54674"/>
    <w:rsid w:val="00C5680D"/>
    <w:rsid w:val="00C60563"/>
    <w:rsid w:val="00C620A3"/>
    <w:rsid w:val="00C62927"/>
    <w:rsid w:val="00C726AC"/>
    <w:rsid w:val="00C7503F"/>
    <w:rsid w:val="00C77013"/>
    <w:rsid w:val="00C80B94"/>
    <w:rsid w:val="00C8119A"/>
    <w:rsid w:val="00C8294D"/>
    <w:rsid w:val="00C83261"/>
    <w:rsid w:val="00C84178"/>
    <w:rsid w:val="00C8500B"/>
    <w:rsid w:val="00C8553B"/>
    <w:rsid w:val="00C91400"/>
    <w:rsid w:val="00C9159B"/>
    <w:rsid w:val="00C95EC7"/>
    <w:rsid w:val="00C978DA"/>
    <w:rsid w:val="00CA1ED3"/>
    <w:rsid w:val="00CA3310"/>
    <w:rsid w:val="00CA6D3C"/>
    <w:rsid w:val="00CB02BC"/>
    <w:rsid w:val="00CB117C"/>
    <w:rsid w:val="00CB1763"/>
    <w:rsid w:val="00CB55A2"/>
    <w:rsid w:val="00CC4B7D"/>
    <w:rsid w:val="00CD33C3"/>
    <w:rsid w:val="00CD507C"/>
    <w:rsid w:val="00CD6031"/>
    <w:rsid w:val="00CD606D"/>
    <w:rsid w:val="00CE4A77"/>
    <w:rsid w:val="00CE5263"/>
    <w:rsid w:val="00CF2587"/>
    <w:rsid w:val="00CF42C6"/>
    <w:rsid w:val="00CF6E0A"/>
    <w:rsid w:val="00CF7A1E"/>
    <w:rsid w:val="00D00445"/>
    <w:rsid w:val="00D005F8"/>
    <w:rsid w:val="00D018E9"/>
    <w:rsid w:val="00D1395B"/>
    <w:rsid w:val="00D20372"/>
    <w:rsid w:val="00D20EC6"/>
    <w:rsid w:val="00D27E81"/>
    <w:rsid w:val="00D30407"/>
    <w:rsid w:val="00D32198"/>
    <w:rsid w:val="00D324BA"/>
    <w:rsid w:val="00D34293"/>
    <w:rsid w:val="00D363B0"/>
    <w:rsid w:val="00D41A22"/>
    <w:rsid w:val="00D41C38"/>
    <w:rsid w:val="00D61A1A"/>
    <w:rsid w:val="00D62C50"/>
    <w:rsid w:val="00D6708E"/>
    <w:rsid w:val="00D7167A"/>
    <w:rsid w:val="00D7367D"/>
    <w:rsid w:val="00D820B4"/>
    <w:rsid w:val="00D846F9"/>
    <w:rsid w:val="00D849A3"/>
    <w:rsid w:val="00D869F7"/>
    <w:rsid w:val="00D905C4"/>
    <w:rsid w:val="00D93A8D"/>
    <w:rsid w:val="00DB1582"/>
    <w:rsid w:val="00DB6E3F"/>
    <w:rsid w:val="00DB7442"/>
    <w:rsid w:val="00DC29A1"/>
    <w:rsid w:val="00DC3934"/>
    <w:rsid w:val="00DC3E4D"/>
    <w:rsid w:val="00DC7074"/>
    <w:rsid w:val="00DC75C4"/>
    <w:rsid w:val="00DD0072"/>
    <w:rsid w:val="00DD05C4"/>
    <w:rsid w:val="00DD1475"/>
    <w:rsid w:val="00DD3C68"/>
    <w:rsid w:val="00DE2CBD"/>
    <w:rsid w:val="00DE2F6B"/>
    <w:rsid w:val="00DE3F14"/>
    <w:rsid w:val="00DF27EA"/>
    <w:rsid w:val="00DF53E4"/>
    <w:rsid w:val="00DF5CE9"/>
    <w:rsid w:val="00DF621D"/>
    <w:rsid w:val="00E0024D"/>
    <w:rsid w:val="00E035E2"/>
    <w:rsid w:val="00E05D8D"/>
    <w:rsid w:val="00E0658D"/>
    <w:rsid w:val="00E11A46"/>
    <w:rsid w:val="00E1333A"/>
    <w:rsid w:val="00E15409"/>
    <w:rsid w:val="00E15774"/>
    <w:rsid w:val="00E32101"/>
    <w:rsid w:val="00E32514"/>
    <w:rsid w:val="00E35738"/>
    <w:rsid w:val="00E370D2"/>
    <w:rsid w:val="00E4193F"/>
    <w:rsid w:val="00E41E9E"/>
    <w:rsid w:val="00E4576C"/>
    <w:rsid w:val="00E52D25"/>
    <w:rsid w:val="00E67968"/>
    <w:rsid w:val="00E67C28"/>
    <w:rsid w:val="00E702C9"/>
    <w:rsid w:val="00E738A0"/>
    <w:rsid w:val="00E835BD"/>
    <w:rsid w:val="00E85BBF"/>
    <w:rsid w:val="00E875A1"/>
    <w:rsid w:val="00E92C58"/>
    <w:rsid w:val="00E94DAC"/>
    <w:rsid w:val="00E965F2"/>
    <w:rsid w:val="00E96FA9"/>
    <w:rsid w:val="00EA49C5"/>
    <w:rsid w:val="00EB35A8"/>
    <w:rsid w:val="00EB72CD"/>
    <w:rsid w:val="00EC228C"/>
    <w:rsid w:val="00EC7CC7"/>
    <w:rsid w:val="00ED2381"/>
    <w:rsid w:val="00ED342D"/>
    <w:rsid w:val="00ED7018"/>
    <w:rsid w:val="00ED793A"/>
    <w:rsid w:val="00EE15EF"/>
    <w:rsid w:val="00EE3F5A"/>
    <w:rsid w:val="00EF190F"/>
    <w:rsid w:val="00EF45EC"/>
    <w:rsid w:val="00EF4AA1"/>
    <w:rsid w:val="00EF4B93"/>
    <w:rsid w:val="00F04A71"/>
    <w:rsid w:val="00F0796C"/>
    <w:rsid w:val="00F10A3D"/>
    <w:rsid w:val="00F11B85"/>
    <w:rsid w:val="00F1214A"/>
    <w:rsid w:val="00F13192"/>
    <w:rsid w:val="00F1635B"/>
    <w:rsid w:val="00F17920"/>
    <w:rsid w:val="00F21AA2"/>
    <w:rsid w:val="00F23505"/>
    <w:rsid w:val="00F242C2"/>
    <w:rsid w:val="00F3146D"/>
    <w:rsid w:val="00F317CF"/>
    <w:rsid w:val="00F3245D"/>
    <w:rsid w:val="00F36070"/>
    <w:rsid w:val="00F366D2"/>
    <w:rsid w:val="00F46EC2"/>
    <w:rsid w:val="00F50D52"/>
    <w:rsid w:val="00F51443"/>
    <w:rsid w:val="00F575BB"/>
    <w:rsid w:val="00F5772F"/>
    <w:rsid w:val="00F6064A"/>
    <w:rsid w:val="00F66843"/>
    <w:rsid w:val="00F67097"/>
    <w:rsid w:val="00F7388F"/>
    <w:rsid w:val="00F73B5D"/>
    <w:rsid w:val="00F7414D"/>
    <w:rsid w:val="00F75526"/>
    <w:rsid w:val="00F7616F"/>
    <w:rsid w:val="00F77C59"/>
    <w:rsid w:val="00F83A26"/>
    <w:rsid w:val="00F85BA6"/>
    <w:rsid w:val="00F906AF"/>
    <w:rsid w:val="00F92C83"/>
    <w:rsid w:val="00F979E7"/>
    <w:rsid w:val="00FA3B86"/>
    <w:rsid w:val="00FA4579"/>
    <w:rsid w:val="00FA6BCC"/>
    <w:rsid w:val="00FA6EC4"/>
    <w:rsid w:val="00FA711D"/>
    <w:rsid w:val="00FB2387"/>
    <w:rsid w:val="00FB7333"/>
    <w:rsid w:val="00FB73DF"/>
    <w:rsid w:val="00FC1B30"/>
    <w:rsid w:val="00FC3F09"/>
    <w:rsid w:val="00FD6924"/>
    <w:rsid w:val="00FD6F40"/>
    <w:rsid w:val="00FE04CF"/>
    <w:rsid w:val="00FF4CC3"/>
    <w:rsid w:val="00FF77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E7B"/>
  </w:style>
  <w:style w:type="paragraph" w:styleId="Heading1">
    <w:name w:val="heading 1"/>
    <w:basedOn w:val="Normal"/>
    <w:next w:val="Normal"/>
    <w:link w:val="Heading1Char"/>
    <w:uiPriority w:val="9"/>
    <w:qFormat/>
    <w:rsid w:val="00F10A3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10A3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384B"/>
    <w:pPr>
      <w:spacing w:after="0" w:line="240" w:lineRule="auto"/>
      <w:ind w:left="720"/>
      <w:contextualSpacing/>
    </w:pPr>
    <w:rPr>
      <w:rFonts w:ascii="Arial" w:eastAsia="Times New Roman" w:hAnsi="Arial" w:cs="Times New Roman"/>
      <w:sz w:val="32"/>
      <w:szCs w:val="32"/>
    </w:rPr>
  </w:style>
  <w:style w:type="character" w:styleId="Hyperlink">
    <w:name w:val="Hyperlink"/>
    <w:basedOn w:val="DefaultParagraphFont"/>
    <w:uiPriority w:val="99"/>
    <w:unhideWhenUsed/>
    <w:rsid w:val="006F65FB"/>
    <w:rPr>
      <w:color w:val="0000FF"/>
      <w:u w:val="single"/>
    </w:rPr>
  </w:style>
  <w:style w:type="paragraph" w:styleId="NormalWeb">
    <w:name w:val="Normal (Web)"/>
    <w:basedOn w:val="Normal"/>
    <w:uiPriority w:val="99"/>
    <w:unhideWhenUsed/>
    <w:rsid w:val="00120202"/>
    <w:pPr>
      <w:spacing w:before="150" w:after="75" w:line="240" w:lineRule="auto"/>
    </w:pPr>
    <w:rPr>
      <w:rFonts w:ascii="Times New Roman" w:eastAsia="Times New Roman" w:hAnsi="Times New Roman" w:cs="Times New Roman"/>
      <w:sz w:val="24"/>
      <w:szCs w:val="24"/>
      <w:lang w:val="en-CA" w:eastAsia="en-CA"/>
    </w:rPr>
  </w:style>
  <w:style w:type="paragraph" w:styleId="FootnoteText">
    <w:name w:val="footnote text"/>
    <w:basedOn w:val="Normal"/>
    <w:link w:val="FootnoteTextChar"/>
    <w:uiPriority w:val="99"/>
    <w:unhideWhenUsed/>
    <w:rsid w:val="00D6708E"/>
    <w:pPr>
      <w:spacing w:after="0" w:line="240" w:lineRule="auto"/>
    </w:pPr>
    <w:rPr>
      <w:sz w:val="20"/>
      <w:szCs w:val="20"/>
    </w:rPr>
  </w:style>
  <w:style w:type="character" w:customStyle="1" w:styleId="FootnoteTextChar">
    <w:name w:val="Footnote Text Char"/>
    <w:basedOn w:val="DefaultParagraphFont"/>
    <w:link w:val="FootnoteText"/>
    <w:uiPriority w:val="99"/>
    <w:rsid w:val="00D6708E"/>
    <w:rPr>
      <w:sz w:val="20"/>
      <w:szCs w:val="20"/>
    </w:rPr>
  </w:style>
  <w:style w:type="character" w:styleId="FootnoteReference">
    <w:name w:val="footnote reference"/>
    <w:basedOn w:val="DefaultParagraphFont"/>
    <w:uiPriority w:val="99"/>
    <w:semiHidden/>
    <w:unhideWhenUsed/>
    <w:rsid w:val="00D6708E"/>
    <w:rPr>
      <w:vertAlign w:val="superscript"/>
    </w:rPr>
  </w:style>
  <w:style w:type="paragraph" w:styleId="BalloonText">
    <w:name w:val="Balloon Text"/>
    <w:basedOn w:val="Normal"/>
    <w:link w:val="BalloonTextChar"/>
    <w:uiPriority w:val="99"/>
    <w:semiHidden/>
    <w:unhideWhenUsed/>
    <w:rsid w:val="00D670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08E"/>
    <w:rPr>
      <w:rFonts w:ascii="Tahoma" w:hAnsi="Tahoma" w:cs="Tahoma"/>
      <w:sz w:val="16"/>
      <w:szCs w:val="16"/>
    </w:rPr>
  </w:style>
  <w:style w:type="character" w:styleId="FollowedHyperlink">
    <w:name w:val="FollowedHyperlink"/>
    <w:basedOn w:val="DefaultParagraphFont"/>
    <w:uiPriority w:val="99"/>
    <w:semiHidden/>
    <w:unhideWhenUsed/>
    <w:rsid w:val="00255FC8"/>
    <w:rPr>
      <w:color w:val="800080" w:themeColor="followedHyperlink"/>
      <w:u w:val="single"/>
    </w:rPr>
  </w:style>
  <w:style w:type="paragraph" w:styleId="Header">
    <w:name w:val="header"/>
    <w:basedOn w:val="Normal"/>
    <w:link w:val="HeaderChar"/>
    <w:uiPriority w:val="99"/>
    <w:unhideWhenUsed/>
    <w:rsid w:val="00C915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159B"/>
  </w:style>
  <w:style w:type="paragraph" w:styleId="Footer">
    <w:name w:val="footer"/>
    <w:basedOn w:val="Normal"/>
    <w:link w:val="FooterChar"/>
    <w:uiPriority w:val="99"/>
    <w:unhideWhenUsed/>
    <w:rsid w:val="00C915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159B"/>
  </w:style>
  <w:style w:type="character" w:customStyle="1" w:styleId="Heading2Char">
    <w:name w:val="Heading 2 Char"/>
    <w:basedOn w:val="DefaultParagraphFont"/>
    <w:link w:val="Heading2"/>
    <w:uiPriority w:val="9"/>
    <w:rsid w:val="00F10A3D"/>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F10A3D"/>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C11769"/>
    <w:pPr>
      <w:outlineLvl w:val="9"/>
    </w:pPr>
    <w:rPr>
      <w:lang w:eastAsia="ja-JP"/>
    </w:rPr>
  </w:style>
  <w:style w:type="paragraph" w:styleId="TOC1">
    <w:name w:val="toc 1"/>
    <w:basedOn w:val="Normal"/>
    <w:next w:val="Normal"/>
    <w:autoRedefine/>
    <w:uiPriority w:val="39"/>
    <w:unhideWhenUsed/>
    <w:rsid w:val="00C11769"/>
    <w:pPr>
      <w:spacing w:after="100"/>
    </w:pPr>
  </w:style>
  <w:style w:type="paragraph" w:styleId="TOC2">
    <w:name w:val="toc 2"/>
    <w:basedOn w:val="Normal"/>
    <w:next w:val="Normal"/>
    <w:autoRedefine/>
    <w:uiPriority w:val="39"/>
    <w:unhideWhenUsed/>
    <w:rsid w:val="00C11769"/>
    <w:pPr>
      <w:spacing w:after="100"/>
      <w:ind w:left="220"/>
    </w:pPr>
  </w:style>
</w:styles>
</file>

<file path=word/webSettings.xml><?xml version="1.0" encoding="utf-8"?>
<w:webSettings xmlns:r="http://schemas.openxmlformats.org/officeDocument/2006/relationships" xmlns:w="http://schemas.openxmlformats.org/wordprocessingml/2006/main">
  <w:divs>
    <w:div w:id="121727443">
      <w:bodyDiv w:val="1"/>
      <w:marLeft w:val="0"/>
      <w:marRight w:val="0"/>
      <w:marTop w:val="0"/>
      <w:marBottom w:val="0"/>
      <w:divBdr>
        <w:top w:val="none" w:sz="0" w:space="0" w:color="auto"/>
        <w:left w:val="none" w:sz="0" w:space="0" w:color="auto"/>
        <w:bottom w:val="none" w:sz="0" w:space="0" w:color="auto"/>
        <w:right w:val="none" w:sz="0" w:space="0" w:color="auto"/>
      </w:divBdr>
    </w:div>
    <w:div w:id="690033140">
      <w:bodyDiv w:val="1"/>
      <w:marLeft w:val="0"/>
      <w:marRight w:val="0"/>
      <w:marTop w:val="0"/>
      <w:marBottom w:val="0"/>
      <w:divBdr>
        <w:top w:val="none" w:sz="0" w:space="0" w:color="auto"/>
        <w:left w:val="none" w:sz="0" w:space="0" w:color="auto"/>
        <w:bottom w:val="none" w:sz="0" w:space="0" w:color="auto"/>
        <w:right w:val="none" w:sz="0" w:space="0" w:color="auto"/>
      </w:divBdr>
    </w:div>
    <w:div w:id="722876123">
      <w:bodyDiv w:val="1"/>
      <w:marLeft w:val="0"/>
      <w:marRight w:val="0"/>
      <w:marTop w:val="0"/>
      <w:marBottom w:val="0"/>
      <w:divBdr>
        <w:top w:val="none" w:sz="0" w:space="0" w:color="auto"/>
        <w:left w:val="none" w:sz="0" w:space="0" w:color="auto"/>
        <w:bottom w:val="none" w:sz="0" w:space="0" w:color="auto"/>
        <w:right w:val="none" w:sz="0" w:space="0" w:color="auto"/>
      </w:divBdr>
    </w:div>
    <w:div w:id="989987622">
      <w:bodyDiv w:val="1"/>
      <w:marLeft w:val="0"/>
      <w:marRight w:val="0"/>
      <w:marTop w:val="0"/>
      <w:marBottom w:val="0"/>
      <w:divBdr>
        <w:top w:val="none" w:sz="0" w:space="0" w:color="auto"/>
        <w:left w:val="none" w:sz="0" w:space="0" w:color="auto"/>
        <w:bottom w:val="none" w:sz="0" w:space="0" w:color="auto"/>
        <w:right w:val="none" w:sz="0" w:space="0" w:color="auto"/>
      </w:divBdr>
    </w:div>
    <w:div w:id="1184127917">
      <w:bodyDiv w:val="1"/>
      <w:marLeft w:val="0"/>
      <w:marRight w:val="0"/>
      <w:marTop w:val="0"/>
      <w:marBottom w:val="0"/>
      <w:divBdr>
        <w:top w:val="none" w:sz="0" w:space="0" w:color="auto"/>
        <w:left w:val="none" w:sz="0" w:space="0" w:color="auto"/>
        <w:bottom w:val="none" w:sz="0" w:space="0" w:color="auto"/>
        <w:right w:val="none" w:sz="0" w:space="0" w:color="auto"/>
      </w:divBdr>
    </w:div>
    <w:div w:id="1727289688">
      <w:bodyDiv w:val="1"/>
      <w:marLeft w:val="0"/>
      <w:marRight w:val="0"/>
      <w:marTop w:val="0"/>
      <w:marBottom w:val="0"/>
      <w:divBdr>
        <w:top w:val="none" w:sz="0" w:space="0" w:color="auto"/>
        <w:left w:val="none" w:sz="0" w:space="0" w:color="auto"/>
        <w:bottom w:val="none" w:sz="0" w:space="0" w:color="auto"/>
        <w:right w:val="none" w:sz="0" w:space="0" w:color="auto"/>
      </w:divBdr>
    </w:div>
    <w:div w:id="1946644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canadiansportforlife.ca/sites/default/files/flipbooks/noaccidental2/NoAccidentalChampions.html" TargetMode="External"/><Relationship Id="rId4" Type="http://schemas.openxmlformats.org/officeDocument/2006/relationships/settings" Target="settings.xml"/><Relationship Id="rId9" Type="http://schemas.openxmlformats.org/officeDocument/2006/relationships/hyperlink" Target="http://www.tsbvi.edu/curriculum-a-publications/3/1069-preschool-children-with-visual-impairments-by-virginia-bishop"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canadiansportforlife.ca/physical-literacy/more-about-fundamental-skills" TargetMode="External"/><Relationship Id="rId2" Type="http://schemas.openxmlformats.org/officeDocument/2006/relationships/hyperlink" Target="http://canadiansportforlife.ca/what-physical-literacy-0" TargetMode="External"/><Relationship Id="rId1" Type="http://schemas.openxmlformats.org/officeDocument/2006/relationships/hyperlink" Target="http://canadiansportforlife.ca/fr/learn-about-canadian-sport-life/cs4l-organization" TargetMode="External"/><Relationship Id="rId5" Type="http://schemas.openxmlformats.org/officeDocument/2006/relationships/hyperlink" Target="http://www.tsbvi.edu/curriculum-a-publications/3/1069-preschool-children-with-visual-impairments-by-virginia-bishop" TargetMode="External"/><Relationship Id="rId4" Type="http://schemas.openxmlformats.org/officeDocument/2006/relationships/hyperlink" Target="http://canadiansportforlife.ca/sites/default/files/flipbooks/noaccidental2/NoAccidentalChampio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B181FB-9D51-40B5-A83C-DCC044B9B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11297</Words>
  <Characters>64395</Characters>
  <Application>Microsoft Office Word</Application>
  <DocSecurity>0</DocSecurity>
  <Lines>536</Lines>
  <Paragraphs>151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Calgary Police Service</Company>
  <LinksUpToDate>false</LinksUpToDate>
  <CharactersWithSpaces>75541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Fenton</dc:creator>
  <cp:lastModifiedBy> </cp:lastModifiedBy>
  <cp:revision>2</cp:revision>
  <cp:lastPrinted>2013-10-02T19:28:00Z</cp:lastPrinted>
  <dcterms:created xsi:type="dcterms:W3CDTF">2013-10-16T18:39:00Z</dcterms:created>
  <dcterms:modified xsi:type="dcterms:W3CDTF">2013-10-16T18:39:00Z</dcterms:modified>
</cp:coreProperties>
</file>